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48F" w:rsidRPr="00831EBF" w:rsidRDefault="0005048F" w:rsidP="0005048F">
      <w:pPr>
        <w:spacing w:after="0" w:line="240" w:lineRule="auto"/>
        <w:ind w:left="900" w:right="600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831EBF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 xml:space="preserve">КОМПЛЕКСНАЯ ОЦЕНКА РЕЗУЛЬТАТИВНОСТИ И ЭФФЕКТИВНОСТИ </w:t>
      </w:r>
      <w:r w:rsidR="008511E3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МУНИЦИПАЛЬНЫХ</w:t>
      </w:r>
      <w:r w:rsidR="00654E5D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, ГОРОДСКИХ, ВЕДОМСТВЕННЫХ ЦЕЛЕВЫХ ПРОГРАММ</w:t>
      </w:r>
      <w:r w:rsidR="008511E3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 w:rsidRPr="00831EBF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В 20</w:t>
      </w:r>
      <w:r w:rsidR="00E714D0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2</w:t>
      </w:r>
      <w:r w:rsidR="00E76161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1</w:t>
      </w:r>
      <w:r w:rsidR="00E714D0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 w:rsidRPr="00831EBF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ГОДУ</w:t>
      </w:r>
    </w:p>
    <w:p w:rsidR="0005048F" w:rsidRPr="00831EBF" w:rsidRDefault="0005048F" w:rsidP="0005048F">
      <w:pPr>
        <w:spacing w:after="0" w:line="240" w:lineRule="auto"/>
        <w:ind w:left="900" w:right="600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05048F" w:rsidRPr="00831EBF" w:rsidRDefault="0005048F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В 20</w:t>
      </w:r>
      <w:r w:rsidR="00E714D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E7616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</w:t>
      </w:r>
      <w:r w:rsidR="00CE0C1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производилась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 по разработке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реализации 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>и оценке</w:t>
      </w:r>
      <w:r w:rsidR="00654E5D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муниципальных, 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городских</w:t>
      </w:r>
      <w:r w:rsidR="00C20DBB">
        <w:rPr>
          <w:rFonts w:ascii="Times New Roman" w:eastAsia="Times New Roman" w:hAnsi="Times New Roman"/>
          <w:sz w:val="24"/>
          <w:szCs w:val="24"/>
          <w:lang w:eastAsia="ru-RU"/>
        </w:rPr>
        <w:t xml:space="preserve">, ведомственных 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целевых программ</w:t>
      </w:r>
      <w:r w:rsidR="00654E5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D5300" w:rsidRPr="00831EBF">
        <w:rPr>
          <w:rFonts w:ascii="Times New Roman" w:eastAsia="Times New Roman" w:hAnsi="Times New Roman"/>
          <w:sz w:val="24"/>
          <w:szCs w:val="24"/>
          <w:lang w:eastAsia="ru-RU"/>
        </w:rPr>
        <w:t>Осуществлялась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реализация программ, принятых как </w:t>
      </w:r>
      <w:r w:rsidR="003705FC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E714D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E7616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году, так и ранее утвержден</w:t>
      </w:r>
      <w:r w:rsidR="00C20DBB">
        <w:rPr>
          <w:rFonts w:ascii="Times New Roman" w:eastAsia="Times New Roman" w:hAnsi="Times New Roman"/>
          <w:sz w:val="24"/>
          <w:szCs w:val="24"/>
          <w:lang w:eastAsia="ru-RU"/>
        </w:rPr>
        <w:t>ных. Все программы принимались п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остановлениями Администрации </w:t>
      </w:r>
      <w:r w:rsidR="00E714D0"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города </w:t>
      </w:r>
      <w:r w:rsidR="00656BF0" w:rsidRPr="00831EBF">
        <w:rPr>
          <w:rFonts w:ascii="Times New Roman" w:eastAsia="Times New Roman" w:hAnsi="Times New Roman"/>
          <w:sz w:val="24"/>
          <w:szCs w:val="24"/>
          <w:lang w:eastAsia="ru-RU"/>
        </w:rPr>
        <w:t>Переславля-Залесского.</w:t>
      </w:r>
    </w:p>
    <w:p w:rsidR="009D5300" w:rsidRPr="00831EBF" w:rsidRDefault="009D5300" w:rsidP="00AE525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В течение 20</w:t>
      </w:r>
      <w:r w:rsidR="00E714D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E7616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года вносили</w:t>
      </w:r>
      <w:r w:rsidR="00C20DBB">
        <w:rPr>
          <w:rFonts w:ascii="Times New Roman" w:eastAsia="Times New Roman" w:hAnsi="Times New Roman"/>
          <w:sz w:val="24"/>
          <w:szCs w:val="24"/>
          <w:lang w:eastAsia="ru-RU"/>
        </w:rPr>
        <w:t xml:space="preserve">сь изменения в городские целевые, 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ведомственные</w:t>
      </w:r>
      <w:r w:rsidR="00C20DBB">
        <w:rPr>
          <w:rFonts w:ascii="Times New Roman" w:eastAsia="Times New Roman" w:hAnsi="Times New Roman"/>
          <w:sz w:val="24"/>
          <w:szCs w:val="24"/>
          <w:lang w:eastAsia="ru-RU"/>
        </w:rPr>
        <w:t xml:space="preserve"> целевые и муниципальные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программы. Основными причинами внесения изменений были:</w:t>
      </w:r>
    </w:p>
    <w:p w:rsidR="009D5300" w:rsidRPr="00831EBF" w:rsidRDefault="009D5300" w:rsidP="009D5300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- изменение объемов финансирования;</w:t>
      </w:r>
    </w:p>
    <w:p w:rsidR="009D5300" w:rsidRDefault="009D5300" w:rsidP="009D5300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- корректировка мероприятий или механизма реализации программы;</w:t>
      </w:r>
    </w:p>
    <w:p w:rsidR="00644996" w:rsidRPr="00831EBF" w:rsidRDefault="00644996" w:rsidP="009D5300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изменение кураторов и ответственных исполнителей программ;</w:t>
      </w:r>
    </w:p>
    <w:p w:rsidR="009D5300" w:rsidRPr="00831EBF" w:rsidRDefault="009D5300" w:rsidP="009D5300">
      <w:pPr>
        <w:spacing w:after="0" w:line="240" w:lineRule="auto"/>
        <w:ind w:left="900" w:right="600" w:hanging="19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 xml:space="preserve">- изменение </w:t>
      </w:r>
      <w:r w:rsidR="00644996">
        <w:rPr>
          <w:rFonts w:ascii="Times New Roman" w:eastAsia="Times New Roman" w:hAnsi="Times New Roman"/>
          <w:sz w:val="24"/>
          <w:szCs w:val="24"/>
          <w:lang w:eastAsia="ru-RU"/>
        </w:rPr>
        <w:t>целевых показателей</w:t>
      </w:r>
      <w:r w:rsidRPr="00831EB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D5300" w:rsidRPr="00BD19AC" w:rsidRDefault="009D5300" w:rsidP="0005048F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4C22CB" w:rsidRDefault="00CE0C16" w:rsidP="0004003D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541728" cy="3571958"/>
            <wp:effectExtent l="0" t="0" r="190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3D5217" w:rsidRPr="00B947A0" w:rsidRDefault="00831EBF" w:rsidP="00091F17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В течение года осуществлялась реализация </w:t>
      </w:r>
      <w:r w:rsidR="00C20DBB" w:rsidRPr="00B947A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76161" w:rsidRPr="00B947A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3D5217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муниципальных</w:t>
      </w:r>
      <w:r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</w:t>
      </w:r>
      <w:r w:rsidR="00091F17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3D5217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965691" w:rsidRPr="00B947A0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3D5217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 числе:</w:t>
      </w:r>
    </w:p>
    <w:p w:rsidR="003D5217" w:rsidRPr="00B947A0" w:rsidRDefault="003D5217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965691" w:rsidRPr="00B947A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E76161" w:rsidRPr="00B947A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965691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</w:t>
      </w:r>
      <w:r w:rsidR="00091F17" w:rsidRPr="00B947A0">
        <w:rPr>
          <w:rFonts w:ascii="Times New Roman" w:eastAsia="Times New Roman" w:hAnsi="Times New Roman"/>
          <w:sz w:val="24"/>
          <w:szCs w:val="24"/>
          <w:lang w:eastAsia="ru-RU"/>
        </w:rPr>
        <w:t>ие</w:t>
      </w:r>
      <w:r w:rsidR="00965691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</w:t>
      </w:r>
      <w:r w:rsidR="00091F17" w:rsidRPr="00B947A0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965691" w:rsidRPr="00B947A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65691" w:rsidRPr="00B947A0" w:rsidRDefault="00965691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705FC" w:rsidRPr="00B947A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942779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 ведомственные</w:t>
      </w:r>
      <w:r w:rsidR="00C20DBB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программы.</w:t>
      </w:r>
    </w:p>
    <w:p w:rsidR="00964093" w:rsidRPr="00B947A0" w:rsidRDefault="00964093" w:rsidP="00964093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7A0">
        <w:rPr>
          <w:rFonts w:ascii="Times New Roman" w:eastAsia="Times New Roman" w:hAnsi="Times New Roman"/>
          <w:sz w:val="24"/>
          <w:szCs w:val="24"/>
          <w:lang w:eastAsia="ru-RU"/>
        </w:rPr>
        <w:t>- 1 городская адресная программа.</w:t>
      </w:r>
    </w:p>
    <w:p w:rsidR="00831EBF" w:rsidRPr="008A785B" w:rsidRDefault="00965691" w:rsidP="00E32D1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7A0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831EBF" w:rsidRPr="00B947A0">
        <w:rPr>
          <w:rFonts w:ascii="Times New Roman" w:eastAsia="Times New Roman" w:hAnsi="Times New Roman"/>
          <w:sz w:val="24"/>
          <w:szCs w:val="24"/>
          <w:lang w:eastAsia="ru-RU"/>
        </w:rPr>
        <w:t>лановы</w:t>
      </w:r>
      <w:r w:rsidRPr="00B947A0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831EBF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 объем финансирования</w:t>
      </w:r>
      <w:r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 всех программ</w:t>
      </w:r>
      <w:r w:rsidR="00831EBF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 из городского бюджета </w:t>
      </w:r>
      <w:r w:rsidR="003055A4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составил </w:t>
      </w:r>
      <w:r w:rsidR="003D3901" w:rsidRPr="00B947A0">
        <w:rPr>
          <w:rFonts w:ascii="Times New Roman" w:eastAsia="Times New Roman" w:hAnsi="Times New Roman"/>
          <w:sz w:val="24"/>
          <w:szCs w:val="24"/>
          <w:lang w:eastAsia="ru-RU"/>
        </w:rPr>
        <w:t>2 277 143,2</w:t>
      </w:r>
      <w:r w:rsidR="003055A4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рублей, фа</w:t>
      </w:r>
      <w:r w:rsidR="00831EBF" w:rsidRPr="00B947A0">
        <w:rPr>
          <w:rFonts w:ascii="Times New Roman" w:eastAsia="Times New Roman" w:hAnsi="Times New Roman"/>
          <w:sz w:val="24"/>
          <w:szCs w:val="24"/>
          <w:lang w:eastAsia="ru-RU"/>
        </w:rPr>
        <w:t>ктический объем финансирования</w:t>
      </w:r>
      <w:r w:rsidR="003055A4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3D3901" w:rsidRPr="00B947A0">
        <w:rPr>
          <w:rFonts w:ascii="Times New Roman" w:eastAsia="Times New Roman" w:hAnsi="Times New Roman"/>
          <w:sz w:val="24"/>
          <w:szCs w:val="24"/>
          <w:lang w:eastAsia="ru-RU"/>
        </w:rPr>
        <w:t>2 186 215,9</w:t>
      </w:r>
      <w:r w:rsidR="001B4EC7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31EBF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тыс. рублей или </w:t>
      </w:r>
      <w:r w:rsidR="003D3901" w:rsidRPr="00B947A0">
        <w:rPr>
          <w:rFonts w:ascii="Times New Roman" w:eastAsia="Times New Roman" w:hAnsi="Times New Roman"/>
          <w:sz w:val="24"/>
          <w:szCs w:val="24"/>
          <w:lang w:eastAsia="ru-RU"/>
        </w:rPr>
        <w:t>96,0</w:t>
      </w:r>
      <w:r w:rsidR="003055A4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% от </w:t>
      </w:r>
      <w:r w:rsidR="00831EBF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плана. </w:t>
      </w:r>
      <w:r w:rsidR="00F22390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Большую часть </w:t>
      </w:r>
      <w:r w:rsidR="00BA209F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программных расходов городского бюджета составила </w:t>
      </w:r>
      <w:r w:rsidR="0084206E" w:rsidRPr="00B947A0">
        <w:rPr>
          <w:rFonts w:ascii="Times New Roman" w:eastAsia="Times New Roman" w:hAnsi="Times New Roman"/>
          <w:sz w:val="24"/>
          <w:szCs w:val="24"/>
          <w:lang w:eastAsia="ru-RU"/>
        </w:rPr>
        <w:t>муниципальная п</w:t>
      </w:r>
      <w:r w:rsidR="00831EBF" w:rsidRPr="00B947A0">
        <w:rPr>
          <w:rFonts w:ascii="Times New Roman" w:eastAsia="Times New Roman" w:hAnsi="Times New Roman"/>
          <w:sz w:val="24"/>
          <w:szCs w:val="24"/>
          <w:lang w:eastAsia="ru-RU"/>
        </w:rPr>
        <w:t>рограмм</w:t>
      </w:r>
      <w:r w:rsidR="00AE211F" w:rsidRPr="00B947A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831EBF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4206E" w:rsidRPr="00B947A0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B3582" w:rsidRPr="00B947A0">
        <w:rPr>
          <w:rFonts w:ascii="Times New Roman" w:eastAsia="Times New Roman" w:hAnsi="Times New Roman"/>
          <w:sz w:val="24"/>
          <w:szCs w:val="24"/>
          <w:lang w:eastAsia="ru-RU"/>
        </w:rPr>
        <w:t>Развитие образования и молодежная политика городского округа город Переславль-Залесский Ярославской области</w:t>
      </w:r>
      <w:r w:rsidR="0084206E" w:rsidRPr="00B947A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E211F" w:rsidRPr="00B947A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A209F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31EBF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В истекшем году доля бюджетных расходов предусмотренных на реализацию целевых программ составила </w:t>
      </w:r>
      <w:r w:rsidR="003D3901" w:rsidRPr="00B947A0">
        <w:rPr>
          <w:rFonts w:ascii="Times New Roman" w:eastAsia="Times New Roman" w:hAnsi="Times New Roman"/>
          <w:sz w:val="24"/>
          <w:szCs w:val="24"/>
          <w:lang w:eastAsia="ru-RU"/>
        </w:rPr>
        <w:t>93,0</w:t>
      </w:r>
      <w:r w:rsidR="00E0501B" w:rsidRPr="00B947A0">
        <w:rPr>
          <w:rFonts w:ascii="Times New Roman" w:eastAsia="Times New Roman" w:hAnsi="Times New Roman"/>
          <w:sz w:val="24"/>
          <w:szCs w:val="24"/>
          <w:lang w:eastAsia="ru-RU"/>
        </w:rPr>
        <w:t>%.</w:t>
      </w:r>
    </w:p>
    <w:p w:rsidR="00F92850" w:rsidRDefault="00F92850" w:rsidP="00831EBF">
      <w:pPr>
        <w:spacing w:after="0" w:line="240" w:lineRule="auto"/>
        <w:ind w:right="60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7941" w:rsidRPr="00C07941" w:rsidRDefault="00CE0C16" w:rsidP="00CE0C16">
      <w:pPr>
        <w:spacing w:after="0" w:line="240" w:lineRule="auto"/>
        <w:ind w:right="600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219700" cy="3459480"/>
            <wp:effectExtent l="0" t="0" r="0" b="762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9B3162" w:rsidRDefault="009B3162" w:rsidP="00C079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07941" w:rsidRPr="001F6DF4" w:rsidRDefault="00C07941" w:rsidP="00C079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F6DF4">
        <w:rPr>
          <w:rFonts w:ascii="Times New Roman" w:hAnsi="Times New Roman"/>
          <w:sz w:val="24"/>
          <w:szCs w:val="24"/>
        </w:rPr>
        <w:t xml:space="preserve">В разрезе уровней бюджета программные мероприятия выглядят следующим образом: </w:t>
      </w:r>
    </w:p>
    <w:p w:rsidR="00C07941" w:rsidRPr="00B947A0" w:rsidRDefault="00C07941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B947A0">
        <w:rPr>
          <w:rFonts w:ascii="Times New Roman" w:hAnsi="Times New Roman"/>
          <w:b/>
          <w:i/>
          <w:sz w:val="24"/>
          <w:szCs w:val="24"/>
        </w:rPr>
        <w:t xml:space="preserve">- Федеральный бюджет – </w:t>
      </w:r>
      <w:r w:rsidR="003D3901" w:rsidRPr="00B947A0">
        <w:rPr>
          <w:rFonts w:ascii="Times New Roman" w:hAnsi="Times New Roman"/>
          <w:b/>
          <w:i/>
          <w:sz w:val="24"/>
          <w:szCs w:val="24"/>
        </w:rPr>
        <w:t>313,8</w:t>
      </w:r>
      <w:r w:rsidRPr="00B947A0">
        <w:rPr>
          <w:rFonts w:ascii="Times New Roman" w:hAnsi="Times New Roman"/>
          <w:b/>
          <w:i/>
          <w:sz w:val="24"/>
          <w:szCs w:val="24"/>
        </w:rPr>
        <w:t xml:space="preserve"> млн руб</w:t>
      </w:r>
      <w:r w:rsidR="00D57C70" w:rsidRPr="00B947A0">
        <w:rPr>
          <w:rFonts w:ascii="Times New Roman" w:hAnsi="Times New Roman"/>
          <w:b/>
          <w:i/>
          <w:sz w:val="24"/>
          <w:szCs w:val="24"/>
        </w:rPr>
        <w:t>лей</w:t>
      </w:r>
      <w:r w:rsidRPr="00B947A0">
        <w:rPr>
          <w:rFonts w:ascii="Times New Roman" w:hAnsi="Times New Roman"/>
          <w:b/>
          <w:i/>
          <w:sz w:val="24"/>
          <w:szCs w:val="24"/>
        </w:rPr>
        <w:t xml:space="preserve"> или </w:t>
      </w:r>
      <w:r w:rsidR="003D3901" w:rsidRPr="00B947A0">
        <w:rPr>
          <w:rFonts w:ascii="Times New Roman" w:hAnsi="Times New Roman"/>
          <w:b/>
          <w:i/>
          <w:sz w:val="24"/>
          <w:szCs w:val="24"/>
        </w:rPr>
        <w:t>14</w:t>
      </w:r>
      <w:r w:rsidRPr="00B947A0">
        <w:rPr>
          <w:rFonts w:ascii="Times New Roman" w:hAnsi="Times New Roman"/>
          <w:b/>
          <w:i/>
          <w:sz w:val="24"/>
          <w:szCs w:val="24"/>
        </w:rPr>
        <w:t>%;</w:t>
      </w:r>
    </w:p>
    <w:p w:rsidR="00C07941" w:rsidRPr="00B947A0" w:rsidRDefault="00C07941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B947A0">
        <w:rPr>
          <w:rFonts w:ascii="Times New Roman" w:hAnsi="Times New Roman"/>
          <w:b/>
          <w:i/>
          <w:sz w:val="24"/>
          <w:szCs w:val="24"/>
        </w:rPr>
        <w:t xml:space="preserve">- Областной бюджет – </w:t>
      </w:r>
      <w:r w:rsidR="003D3901" w:rsidRPr="00B947A0">
        <w:rPr>
          <w:rFonts w:ascii="Times New Roman" w:hAnsi="Times New Roman"/>
          <w:b/>
          <w:i/>
          <w:sz w:val="24"/>
          <w:szCs w:val="24"/>
        </w:rPr>
        <w:t>1 131,3</w:t>
      </w:r>
      <w:r w:rsidRPr="00B947A0">
        <w:rPr>
          <w:rFonts w:ascii="Times New Roman" w:hAnsi="Times New Roman"/>
          <w:b/>
          <w:i/>
          <w:sz w:val="24"/>
          <w:szCs w:val="24"/>
        </w:rPr>
        <w:t xml:space="preserve"> млн руб</w:t>
      </w:r>
      <w:r w:rsidR="00D57C70" w:rsidRPr="00B947A0">
        <w:rPr>
          <w:rFonts w:ascii="Times New Roman" w:hAnsi="Times New Roman"/>
          <w:b/>
          <w:i/>
          <w:sz w:val="24"/>
          <w:szCs w:val="24"/>
        </w:rPr>
        <w:t>лей</w:t>
      </w:r>
      <w:r w:rsidRPr="00B947A0">
        <w:rPr>
          <w:rFonts w:ascii="Times New Roman" w:hAnsi="Times New Roman"/>
          <w:b/>
          <w:i/>
          <w:sz w:val="24"/>
          <w:szCs w:val="24"/>
        </w:rPr>
        <w:t xml:space="preserve"> или </w:t>
      </w:r>
      <w:r w:rsidR="003D3901" w:rsidRPr="00B947A0">
        <w:rPr>
          <w:rFonts w:ascii="Times New Roman" w:hAnsi="Times New Roman"/>
          <w:b/>
          <w:i/>
          <w:sz w:val="24"/>
          <w:szCs w:val="24"/>
        </w:rPr>
        <w:t>52</w:t>
      </w:r>
      <w:r w:rsidRPr="00B947A0">
        <w:rPr>
          <w:rFonts w:ascii="Times New Roman" w:hAnsi="Times New Roman"/>
          <w:b/>
          <w:i/>
          <w:sz w:val="24"/>
          <w:szCs w:val="24"/>
        </w:rPr>
        <w:t>%;</w:t>
      </w:r>
    </w:p>
    <w:p w:rsidR="00C07941" w:rsidRPr="001F6DF4" w:rsidRDefault="00C07941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B947A0">
        <w:rPr>
          <w:rFonts w:ascii="Times New Roman" w:hAnsi="Times New Roman"/>
          <w:b/>
          <w:i/>
          <w:sz w:val="24"/>
          <w:szCs w:val="24"/>
        </w:rPr>
        <w:t xml:space="preserve">- Городской бюджет – </w:t>
      </w:r>
      <w:r w:rsidR="003D3901" w:rsidRPr="00B947A0">
        <w:rPr>
          <w:rFonts w:ascii="Times New Roman" w:hAnsi="Times New Roman"/>
          <w:b/>
          <w:i/>
          <w:sz w:val="24"/>
          <w:szCs w:val="24"/>
        </w:rPr>
        <w:t>741,1</w:t>
      </w:r>
      <w:r w:rsidRPr="00B947A0">
        <w:rPr>
          <w:rFonts w:ascii="Times New Roman" w:hAnsi="Times New Roman"/>
          <w:b/>
          <w:i/>
          <w:sz w:val="24"/>
          <w:szCs w:val="24"/>
        </w:rPr>
        <w:t xml:space="preserve"> млн руб</w:t>
      </w:r>
      <w:r w:rsidR="00D57C70" w:rsidRPr="00B947A0">
        <w:rPr>
          <w:rFonts w:ascii="Times New Roman" w:hAnsi="Times New Roman"/>
          <w:b/>
          <w:i/>
          <w:sz w:val="24"/>
          <w:szCs w:val="24"/>
        </w:rPr>
        <w:t>лей</w:t>
      </w:r>
      <w:r w:rsidRPr="00B947A0">
        <w:rPr>
          <w:rFonts w:ascii="Times New Roman" w:hAnsi="Times New Roman"/>
          <w:b/>
          <w:i/>
          <w:sz w:val="24"/>
          <w:szCs w:val="24"/>
        </w:rPr>
        <w:t xml:space="preserve"> или </w:t>
      </w:r>
      <w:r w:rsidR="003D3901" w:rsidRPr="00B947A0">
        <w:rPr>
          <w:rFonts w:ascii="Times New Roman" w:hAnsi="Times New Roman"/>
          <w:b/>
          <w:i/>
          <w:sz w:val="24"/>
          <w:szCs w:val="24"/>
        </w:rPr>
        <w:t>34</w:t>
      </w:r>
      <w:r w:rsidRPr="00B947A0">
        <w:rPr>
          <w:rFonts w:ascii="Times New Roman" w:hAnsi="Times New Roman"/>
          <w:b/>
          <w:i/>
          <w:sz w:val="24"/>
          <w:szCs w:val="24"/>
        </w:rPr>
        <w:t>%;</w:t>
      </w:r>
    </w:p>
    <w:p w:rsidR="00060340" w:rsidRPr="001F6DF4" w:rsidRDefault="00060340" w:rsidP="00C0794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4003D" w:rsidRPr="00945429" w:rsidRDefault="00CE0C16" w:rsidP="004E32D9">
      <w:pPr>
        <w:spacing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9A3AA2">
        <w:rPr>
          <w:noProof/>
          <w:lang w:eastAsia="ru-RU"/>
        </w:rPr>
        <w:drawing>
          <wp:inline distT="0" distB="0" distL="0" distR="0">
            <wp:extent cx="5257800" cy="3691890"/>
            <wp:effectExtent l="0" t="0" r="0" b="381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B1D6C" w:rsidRPr="00D57C70" w:rsidRDefault="003B1D6C" w:rsidP="00411BE5">
      <w:pPr>
        <w:spacing w:after="0" w:line="240" w:lineRule="auto"/>
        <w:ind w:right="-1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440F7" w:rsidRPr="00B947A0" w:rsidRDefault="00E32D19" w:rsidP="00580A20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Наибольший удельный вес в расходах городского бюджета на финансирование программ приходится на сферы:  </w:t>
      </w:r>
    </w:p>
    <w:p w:rsidR="00E32D19" w:rsidRPr="00B947A0" w:rsidRDefault="00E32D19" w:rsidP="00580A20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7A0">
        <w:rPr>
          <w:rFonts w:ascii="Times New Roman" w:eastAsia="Times New Roman" w:hAnsi="Times New Roman"/>
          <w:sz w:val="24"/>
          <w:szCs w:val="24"/>
          <w:lang w:eastAsia="ru-RU"/>
        </w:rPr>
        <w:t>образование и молодежная политика</w:t>
      </w:r>
      <w:r w:rsidR="008440F7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3D3901" w:rsidRPr="00B947A0">
        <w:rPr>
          <w:rFonts w:ascii="Times New Roman" w:eastAsia="Times New Roman" w:hAnsi="Times New Roman"/>
          <w:sz w:val="24"/>
          <w:szCs w:val="24"/>
          <w:lang w:eastAsia="ru-RU"/>
        </w:rPr>
        <w:t>47</w:t>
      </w:r>
      <w:r w:rsidR="008440F7" w:rsidRPr="00B947A0">
        <w:rPr>
          <w:rFonts w:ascii="Times New Roman" w:eastAsia="Times New Roman" w:hAnsi="Times New Roman"/>
          <w:sz w:val="24"/>
          <w:szCs w:val="24"/>
          <w:lang w:eastAsia="ru-RU"/>
        </w:rPr>
        <w:t>%</w:t>
      </w:r>
      <w:r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7E1FB7" w:rsidRPr="00B947A0" w:rsidRDefault="005311B7" w:rsidP="00580A20">
      <w:pPr>
        <w:spacing w:after="0" w:line="240" w:lineRule="auto"/>
        <w:ind w:right="-1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7A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</w:t>
      </w:r>
      <w:r w:rsidR="007E1FB7" w:rsidRPr="00B947A0">
        <w:rPr>
          <w:rFonts w:ascii="Times New Roman" w:eastAsia="Times New Roman" w:hAnsi="Times New Roman"/>
          <w:sz w:val="24"/>
          <w:szCs w:val="24"/>
          <w:lang w:eastAsia="ru-RU"/>
        </w:rPr>
        <w:t>социальн</w:t>
      </w:r>
      <w:r w:rsidRPr="00B947A0"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="007E1FB7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политик</w:t>
      </w:r>
      <w:r w:rsidRPr="00B947A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7E1FB7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F8313E" w:rsidRPr="00B947A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5525B" w:rsidRPr="00B947A0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7E1FB7" w:rsidRPr="00B947A0">
        <w:rPr>
          <w:rFonts w:ascii="Times New Roman" w:eastAsia="Times New Roman" w:hAnsi="Times New Roman"/>
          <w:sz w:val="24"/>
          <w:szCs w:val="24"/>
          <w:lang w:eastAsia="ru-RU"/>
        </w:rPr>
        <w:t>%;</w:t>
      </w:r>
    </w:p>
    <w:p w:rsidR="00497537" w:rsidRPr="00B947A0" w:rsidRDefault="00497537" w:rsidP="00497537">
      <w:pPr>
        <w:spacing w:after="0" w:line="240" w:lineRule="auto"/>
        <w:ind w:right="-1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общегосударственные вопросы – </w:t>
      </w:r>
      <w:r w:rsidR="0005525B" w:rsidRPr="00B947A0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B947A0">
        <w:rPr>
          <w:rFonts w:ascii="Times New Roman" w:eastAsia="Times New Roman" w:hAnsi="Times New Roman"/>
          <w:sz w:val="24"/>
          <w:szCs w:val="24"/>
          <w:lang w:eastAsia="ru-RU"/>
        </w:rPr>
        <w:t>%;</w:t>
      </w:r>
    </w:p>
    <w:p w:rsidR="00580A20" w:rsidRPr="00B947A0" w:rsidRDefault="00580A20" w:rsidP="00580A20">
      <w:pPr>
        <w:spacing w:after="0" w:line="240" w:lineRule="auto"/>
        <w:ind w:right="-1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497537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F8313E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национальная экономика – </w:t>
      </w:r>
      <w:r w:rsidR="003D3901" w:rsidRPr="00B947A0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B947A0">
        <w:rPr>
          <w:rFonts w:ascii="Times New Roman" w:eastAsia="Times New Roman" w:hAnsi="Times New Roman"/>
          <w:sz w:val="24"/>
          <w:szCs w:val="24"/>
          <w:lang w:eastAsia="ru-RU"/>
        </w:rPr>
        <w:t>%;</w:t>
      </w:r>
    </w:p>
    <w:p w:rsidR="00580A20" w:rsidRPr="00B947A0" w:rsidRDefault="00F8313E" w:rsidP="00580A20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культура и кинематография – </w:t>
      </w:r>
      <w:r w:rsidR="0005525B" w:rsidRPr="00B947A0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580A20" w:rsidRPr="00B947A0">
        <w:rPr>
          <w:rFonts w:ascii="Times New Roman" w:eastAsia="Times New Roman" w:hAnsi="Times New Roman"/>
          <w:sz w:val="24"/>
          <w:szCs w:val="24"/>
          <w:lang w:eastAsia="ru-RU"/>
        </w:rPr>
        <w:t>%;</w:t>
      </w:r>
    </w:p>
    <w:p w:rsidR="003B1D6C" w:rsidRPr="00B947A0" w:rsidRDefault="003B1D6C" w:rsidP="00580A20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7A0">
        <w:rPr>
          <w:rFonts w:ascii="Times New Roman" w:eastAsia="Times New Roman" w:hAnsi="Times New Roman"/>
          <w:sz w:val="24"/>
          <w:szCs w:val="24"/>
          <w:lang w:eastAsia="ru-RU"/>
        </w:rPr>
        <w:t>жи</w:t>
      </w:r>
      <w:r w:rsidR="00F8313E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лищно-коммунальное хозяйство – </w:t>
      </w:r>
      <w:r w:rsidR="003D3901" w:rsidRPr="00B947A0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B947A0">
        <w:rPr>
          <w:rFonts w:ascii="Times New Roman" w:eastAsia="Times New Roman" w:hAnsi="Times New Roman"/>
          <w:sz w:val="24"/>
          <w:szCs w:val="24"/>
          <w:lang w:eastAsia="ru-RU"/>
        </w:rPr>
        <w:t>%</w:t>
      </w:r>
    </w:p>
    <w:p w:rsidR="005311B7" w:rsidRPr="00B947A0" w:rsidRDefault="005311B7" w:rsidP="00580A20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культура и спорт </w:t>
      </w:r>
      <w:r w:rsidR="00F8313E" w:rsidRPr="00B947A0">
        <w:rPr>
          <w:rFonts w:ascii="Times New Roman" w:eastAsia="Times New Roman" w:hAnsi="Times New Roman"/>
          <w:sz w:val="24"/>
          <w:szCs w:val="24"/>
          <w:lang w:eastAsia="ru-RU"/>
        </w:rPr>
        <w:t>– 1</w:t>
      </w:r>
      <w:r w:rsidR="00B3775C" w:rsidRPr="00B947A0">
        <w:rPr>
          <w:rFonts w:ascii="Times New Roman" w:eastAsia="Times New Roman" w:hAnsi="Times New Roman"/>
          <w:sz w:val="24"/>
          <w:szCs w:val="24"/>
          <w:lang w:eastAsia="ru-RU"/>
        </w:rPr>
        <w:t>%</w:t>
      </w:r>
      <w:r w:rsidR="00580A20" w:rsidRPr="00B947A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32D19" w:rsidRPr="00B947A0" w:rsidRDefault="00E32D19" w:rsidP="00411BE5">
      <w:pPr>
        <w:spacing w:after="0" w:line="240" w:lineRule="auto"/>
        <w:ind w:left="900" w:right="60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7A0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b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b/>
          <w:sz w:val="26"/>
          <w:szCs w:val="26"/>
          <w:lang w:eastAsia="ru-RU"/>
        </w:rPr>
        <w:t>В</w:t>
      </w:r>
      <w:r w:rsidRPr="00B947A0">
        <w:rPr>
          <w:rFonts w:ascii="Times New Roman" w:eastAsia="Times New Roman" w:hAnsi="Times New Roman"/>
          <w:b/>
          <w:sz w:val="26"/>
          <w:szCs w:val="26"/>
          <w:lang w:val="x-none" w:eastAsia="ru-RU"/>
        </w:rPr>
        <w:t xml:space="preserve"> 20</w:t>
      </w:r>
      <w:r w:rsidRPr="00B947A0">
        <w:rPr>
          <w:rFonts w:ascii="Times New Roman" w:eastAsia="Times New Roman" w:hAnsi="Times New Roman"/>
          <w:b/>
          <w:sz w:val="26"/>
          <w:szCs w:val="26"/>
          <w:lang w:eastAsia="ru-RU"/>
        </w:rPr>
        <w:t>21</w:t>
      </w:r>
      <w:r w:rsidRPr="00B947A0">
        <w:rPr>
          <w:rFonts w:ascii="Times New Roman" w:eastAsia="Times New Roman" w:hAnsi="Times New Roman"/>
          <w:b/>
          <w:sz w:val="26"/>
          <w:szCs w:val="26"/>
          <w:lang w:val="x-none" w:eastAsia="ru-RU"/>
        </w:rPr>
        <w:t xml:space="preserve"> году </w:t>
      </w:r>
      <w:r w:rsidRPr="00B947A0">
        <w:rPr>
          <w:rFonts w:ascii="Times New Roman" w:eastAsia="Times New Roman" w:hAnsi="Times New Roman"/>
          <w:b/>
          <w:sz w:val="26"/>
          <w:szCs w:val="26"/>
          <w:lang w:eastAsia="ru-RU"/>
        </w:rPr>
        <w:t>н</w:t>
      </w:r>
      <w:r w:rsidRPr="00B947A0">
        <w:rPr>
          <w:rFonts w:ascii="Times New Roman" w:eastAsia="Times New Roman" w:hAnsi="Times New Roman"/>
          <w:b/>
          <w:sz w:val="26"/>
          <w:szCs w:val="26"/>
          <w:lang w:val="x-none" w:eastAsia="ru-RU"/>
        </w:rPr>
        <w:t xml:space="preserve">а сферу «Образование» направлено </w:t>
      </w:r>
      <w:r w:rsidRPr="00B947A0">
        <w:rPr>
          <w:rFonts w:ascii="Times New Roman" w:eastAsia="Times New Roman" w:hAnsi="Times New Roman"/>
          <w:b/>
          <w:sz w:val="26"/>
          <w:szCs w:val="26"/>
          <w:lang w:eastAsia="ru-RU"/>
        </w:rPr>
        <w:t>1 101</w:t>
      </w:r>
      <w:r w:rsidRPr="00B947A0">
        <w:rPr>
          <w:rFonts w:ascii="Times New Roman" w:eastAsia="Times New Roman" w:hAnsi="Times New Roman"/>
          <w:b/>
          <w:sz w:val="26"/>
          <w:szCs w:val="26"/>
          <w:lang w:val="x-none" w:eastAsia="ru-RU"/>
        </w:rPr>
        <w:t xml:space="preserve"> млн рублей. 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1)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По разделу «Общее образование»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(564,6 млн рублей)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средства направлены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на организацию образовательного процесса в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2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общеобразовательных школ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ах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, в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т.ч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.: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- образовательный стандарт (заработная плата, расходы на функционирование образовательных организаций);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- бесплатное горячее питание для начальных классов и отдельных категорий обучающихся (многодетные, малоимущие и т.д.);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- реализация национальных проектов («Точка роста» 6 школ, ремонт спортзала МОУ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Купанской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СШ и МОУ СШ № 1, ремонт пищеблока МОУ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Нагорьевской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СШ»;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- укрепление антитеррористической защищенности и обеспечение пожарной безопасности в школах;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- выполнение работ по энергосбережению в социальной сфере;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- мероприятия по подготовке к началу учебного года (косметический ремонт помещений, ремонт крылец, сетей водопровода и канализации, кровель и т.д.).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2)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По разделу «Дошкольное образование»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(381,2 млн рублей) средства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направлен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ы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на функционирование 30 дошкольных образовательных учреждений и 6 дошкольных групп в 4-х общеобразовательных учреждениях в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т.ч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.: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- образовательный стандарт (заработная плата, расходы на функционирование образовательных организаций);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- мероприятия по антитеррористической безопасности, пожарной безопасности, энергосбережению.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3)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По разделу «Дополнительное образование детей»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(88,6 млн рублей) средства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направлен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ы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на функционирование 8 учреждений дополнительного образования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(заработная плата, расходы на функционирование учреждений дополнительного образования)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.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4)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По разделу «Молодёжная политика и оздоровление детей»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(14,6 млн рублей) средства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направлен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ы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на обеспечение деятельности МУ «Молодежный центр»; проведение социальных мероприятий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: профилактика асоциального поведения, содействие занятости молодежи, поддержка молодых семей, вовлечение молодежи в волонтерскую деятельность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) и МУ ДООЦ «Орленок» (оказаны услуги по отдыху и оздоровлению).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5)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По разделу</w:t>
      </w:r>
      <w:r w:rsidRPr="00B947A0">
        <w:rPr>
          <w:rFonts w:ascii="Times New Roman" w:eastAsia="Times New Roman" w:hAnsi="Times New Roman"/>
          <w:b/>
          <w:i/>
          <w:sz w:val="26"/>
          <w:szCs w:val="26"/>
          <w:lang w:val="x-none" w:eastAsia="ru-RU"/>
        </w:rPr>
        <w:t xml:space="preserve">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«Другие вопросы в области образования»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(51,9 млн рублей) средства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направлен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ы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на содержание Управления образования, МКУ «ЦОФ»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, обеспечение персонифицированного финансирования дополнительного образования детей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.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Средний размер заработной платы на 01.01.202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года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в сфере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«Образование» по городскому округу по отдельным категориям работников составил: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- педагогически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работник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образовательных учреждений общего образования –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35,2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тыс. рублей;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- педагогически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работник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дошкольных образовательных учреждений –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27,9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тыс. рублей;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lastRenderedPageBreak/>
        <w:t>- педагогически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работник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дополнительного образования детей –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37,7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тыс. рублей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b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b/>
          <w:sz w:val="26"/>
          <w:szCs w:val="26"/>
          <w:lang w:eastAsia="ru-RU"/>
        </w:rPr>
        <w:t>В</w:t>
      </w:r>
      <w:r w:rsidRPr="00B947A0">
        <w:rPr>
          <w:rFonts w:ascii="Times New Roman" w:eastAsia="Times New Roman" w:hAnsi="Times New Roman"/>
          <w:b/>
          <w:sz w:val="26"/>
          <w:szCs w:val="26"/>
          <w:lang w:val="x-none" w:eastAsia="ru-RU"/>
        </w:rPr>
        <w:t xml:space="preserve"> 20</w:t>
      </w:r>
      <w:r w:rsidRPr="00B947A0">
        <w:rPr>
          <w:rFonts w:ascii="Times New Roman" w:eastAsia="Times New Roman" w:hAnsi="Times New Roman"/>
          <w:b/>
          <w:sz w:val="26"/>
          <w:szCs w:val="26"/>
          <w:lang w:eastAsia="ru-RU"/>
        </w:rPr>
        <w:t>21</w:t>
      </w:r>
      <w:r w:rsidRPr="00B947A0">
        <w:rPr>
          <w:rFonts w:ascii="Times New Roman" w:eastAsia="Times New Roman" w:hAnsi="Times New Roman"/>
          <w:b/>
          <w:sz w:val="26"/>
          <w:szCs w:val="26"/>
          <w:lang w:val="x-none" w:eastAsia="ru-RU"/>
        </w:rPr>
        <w:t xml:space="preserve"> году </w:t>
      </w:r>
      <w:r w:rsidRPr="00B947A0">
        <w:rPr>
          <w:rFonts w:ascii="Times New Roman" w:eastAsia="Times New Roman" w:hAnsi="Times New Roman"/>
          <w:b/>
          <w:sz w:val="26"/>
          <w:szCs w:val="26"/>
          <w:lang w:eastAsia="ru-RU"/>
        </w:rPr>
        <w:t>на сферу</w:t>
      </w:r>
      <w:r w:rsidRPr="00B947A0">
        <w:rPr>
          <w:rFonts w:ascii="Times New Roman" w:eastAsia="Times New Roman" w:hAnsi="Times New Roman"/>
          <w:b/>
          <w:sz w:val="26"/>
          <w:szCs w:val="26"/>
          <w:lang w:val="x-none" w:eastAsia="ru-RU"/>
        </w:rPr>
        <w:t xml:space="preserve"> «Социальная политика» </w:t>
      </w:r>
      <w:r w:rsidRPr="00B947A0">
        <w:rPr>
          <w:rFonts w:ascii="Times New Roman" w:eastAsia="Times New Roman" w:hAnsi="Times New Roman"/>
          <w:b/>
          <w:sz w:val="26"/>
          <w:szCs w:val="26"/>
          <w:lang w:eastAsia="ru-RU"/>
        </w:rPr>
        <w:t>направлено 647</w:t>
      </w:r>
      <w:r w:rsidRPr="00B947A0">
        <w:rPr>
          <w:rFonts w:ascii="Times New Roman" w:eastAsia="Times New Roman" w:hAnsi="Times New Roman"/>
          <w:b/>
          <w:sz w:val="26"/>
          <w:szCs w:val="26"/>
          <w:lang w:val="x-none" w:eastAsia="ru-RU"/>
        </w:rPr>
        <w:t xml:space="preserve"> млн рублей. 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Бюджетные средства на решение вопросов в области социальной политики были направлены на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следующие мероприятия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: </w:t>
      </w:r>
    </w:p>
    <w:p w:rsidR="00445A68" w:rsidRPr="00B947A0" w:rsidRDefault="00445A68" w:rsidP="00445A68">
      <w:pPr>
        <w:spacing w:after="0" w:line="240" w:lineRule="auto"/>
        <w:ind w:left="680"/>
        <w:jc w:val="both"/>
        <w:rPr>
          <w:rFonts w:ascii="Times New Roman" w:eastAsia="Times New Roman" w:hAnsi="Times New Roman"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социальное обеспечение населения –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ежемесячные денежные выплаты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, субсиди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, пособи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я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населению;</w:t>
      </w:r>
    </w:p>
    <w:p w:rsidR="00445A68" w:rsidRPr="00B947A0" w:rsidRDefault="00445A68" w:rsidP="00445A68">
      <w:pPr>
        <w:spacing w:after="0" w:line="240" w:lineRule="auto"/>
        <w:ind w:left="680"/>
        <w:jc w:val="both"/>
        <w:rPr>
          <w:rFonts w:ascii="Times New Roman" w:eastAsia="Times New Roman" w:hAnsi="Times New Roman"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социальное обслуживание населения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(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содержание МУ КЦСОН «Надежда»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;</w:t>
      </w:r>
    </w:p>
    <w:p w:rsidR="00445A68" w:rsidRPr="00B947A0" w:rsidRDefault="00445A68" w:rsidP="00445A68">
      <w:pPr>
        <w:spacing w:after="0" w:line="240" w:lineRule="auto"/>
        <w:ind w:left="680"/>
        <w:jc w:val="both"/>
        <w:rPr>
          <w:rFonts w:ascii="Times New Roman" w:eastAsia="Times New Roman" w:hAnsi="Times New Roman"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мероприятия по охране семьи и детства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(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на выплату пособий при всех формах устройства детей в семью,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ежемесячные денежные выплаты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на рождение детей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;</w:t>
      </w:r>
    </w:p>
    <w:p w:rsidR="00445A68" w:rsidRPr="00B947A0" w:rsidRDefault="00445A68" w:rsidP="00445A68">
      <w:pPr>
        <w:spacing w:after="0" w:line="240" w:lineRule="auto"/>
        <w:ind w:left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пенсионное обеспечение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(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осуществление выплат муниципальных пенсий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);</w:t>
      </w:r>
    </w:p>
    <w:p w:rsidR="00445A68" w:rsidRPr="00B947A0" w:rsidRDefault="00445A68" w:rsidP="00445A68">
      <w:pPr>
        <w:spacing w:after="0" w:line="240" w:lineRule="auto"/>
        <w:ind w:left="680"/>
        <w:jc w:val="both"/>
        <w:rPr>
          <w:rFonts w:ascii="Times New Roman" w:eastAsia="Times New Roman" w:hAnsi="Times New Roman"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другие вопросы в области социальной политики.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Средняя заработная плата по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социальным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учреждениям городского округа составила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33,7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тыс. рублей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b/>
          <w:sz w:val="26"/>
          <w:szCs w:val="26"/>
          <w:lang w:eastAsia="ru-RU"/>
        </w:rPr>
        <w:t>На</w:t>
      </w:r>
      <w:r w:rsidRPr="00B947A0">
        <w:rPr>
          <w:rFonts w:ascii="Times New Roman" w:eastAsia="Times New Roman" w:hAnsi="Times New Roman"/>
          <w:b/>
          <w:sz w:val="26"/>
          <w:szCs w:val="26"/>
          <w:lang w:val="x-none" w:eastAsia="ru-RU"/>
        </w:rPr>
        <w:t xml:space="preserve"> реализаци</w:t>
      </w:r>
      <w:r w:rsidRPr="00B947A0">
        <w:rPr>
          <w:rFonts w:ascii="Times New Roman" w:eastAsia="Times New Roman" w:hAnsi="Times New Roman"/>
          <w:b/>
          <w:sz w:val="26"/>
          <w:szCs w:val="26"/>
          <w:lang w:eastAsia="ru-RU"/>
        </w:rPr>
        <w:t>ю</w:t>
      </w:r>
      <w:r w:rsidRPr="00B947A0">
        <w:rPr>
          <w:rFonts w:ascii="Times New Roman" w:eastAsia="Times New Roman" w:hAnsi="Times New Roman"/>
          <w:b/>
          <w:sz w:val="26"/>
          <w:szCs w:val="26"/>
          <w:lang w:val="x-none" w:eastAsia="ru-RU"/>
        </w:rPr>
        <w:t xml:space="preserve"> мероприятий </w:t>
      </w:r>
      <w:r w:rsidRPr="00B947A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в сферах </w:t>
      </w:r>
      <w:r w:rsidRPr="00B947A0">
        <w:rPr>
          <w:rFonts w:ascii="Times New Roman" w:eastAsia="Times New Roman" w:hAnsi="Times New Roman"/>
          <w:b/>
          <w:sz w:val="26"/>
          <w:szCs w:val="26"/>
          <w:lang w:val="x-none" w:eastAsia="ru-RU"/>
        </w:rPr>
        <w:t>«Культура и кинематография»</w:t>
      </w:r>
      <w:r w:rsidRPr="00B947A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и «Физическая культура и спорт»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направлено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110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млн рублей.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Бюджетные средства были направлены на следующие мероприятия: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– муниципальное задание «Дома культуры»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(43,9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млн рублей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);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– муниципальное задание МУК ЦБС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(17,8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млн рублей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;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– содержание аппарата Управления культуры (6,9 млн рублей);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– реализация проекта «Решаем вместе» - капитальный ремонт крыши и косметический ремонт помещений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Горкинского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ДК, ремонт сцены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Рязанцевкого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ДК (1,2 млн рублей);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- реализация национального проекта «Культура» - ремонт библиотеки им. А. Невского, создание на ее базе первой модельной библиотеки в городском округе (6,3 млн рублей);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– обеспечение деятельности МУ «ФОК «Чемпион» (27,5 млн рублей, в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т.ч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. 6,4 млн рублей средства на погашение кредиторской задолженности);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– реализация программных мероприятий в области спорта: Лыжный марафон, посвященный 800-летию А. Невского, муниципальный этап Всероссийской массовой лыжной гонки «Лыжня России», лыжные соревнования памяти тренеров-преподавателей ДЮСШ, Переславский полумарафон «Александровские версты», Чемпионаты и Первенства города по футболу, по мини-футболу, по классическим шахматам, русским шашкам, турнир по футболу «Кубок Осени», легкоатлетический кросс «Просторы Залесья», физкультурно-спортивные мероприятия, посвященные Дню физкультурника (6,4  млн рублей)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.</w:t>
      </w:r>
    </w:p>
    <w:p w:rsidR="00445A68" w:rsidRPr="00B947A0" w:rsidRDefault="00445A68" w:rsidP="00445A68">
      <w:pPr>
        <w:tabs>
          <w:tab w:val="left" w:pos="709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Средняя заработная плата работников учреждений культуры городского округа за 20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20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год составила –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34,5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тыс. рублей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D57C70" w:rsidRPr="00B947A0" w:rsidRDefault="00D57C70" w:rsidP="00A70F7B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Расходы жилищно-коммунального хозяйства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охватывают сферы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: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«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ЖКХ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», «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Благоустройство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», «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Охрана окружающей среды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». 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b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b/>
          <w:sz w:val="26"/>
          <w:szCs w:val="26"/>
          <w:lang w:val="x-none" w:eastAsia="ru-RU"/>
        </w:rPr>
        <w:t xml:space="preserve">На «Жилищно-коммунальное хозяйство» было направлено </w:t>
      </w:r>
      <w:r w:rsidRPr="00B947A0">
        <w:rPr>
          <w:rFonts w:ascii="Times New Roman" w:eastAsia="Times New Roman" w:hAnsi="Times New Roman"/>
          <w:b/>
          <w:sz w:val="26"/>
          <w:szCs w:val="26"/>
          <w:lang w:eastAsia="ru-RU"/>
        </w:rPr>
        <w:t>161</w:t>
      </w:r>
      <w:r w:rsidRPr="00B947A0">
        <w:rPr>
          <w:rFonts w:ascii="Times New Roman" w:eastAsia="Times New Roman" w:hAnsi="Times New Roman"/>
          <w:b/>
          <w:sz w:val="26"/>
          <w:szCs w:val="26"/>
          <w:lang w:val="x-none" w:eastAsia="ru-RU"/>
        </w:rPr>
        <w:t xml:space="preserve"> млн рублей: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1) По разделу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«Жилищное хозяйство»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(23,2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млн рублей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,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в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т.ч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.: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взносы в региональный фонд –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9,8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млн рублей, капитальный ремонт вне 185-ФЗ –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2,5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млн рублей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(проведение работ в муниципальных квартирах: ремонт квартир, систем отопления, систем электроснабжения, смена окон и дверей)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,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снос аварийных домов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lastRenderedPageBreak/>
        <w:t xml:space="preserve">–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1,6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млн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рублей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(ограничение доступа в расселенных МКД ул.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Кардовского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, д.36, 23, пл. Комсомольская, 39, снос расселенного аварийного МКД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Кардовского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23, разбор сарая Коммунальная 12, разработка ПСД на снос домов)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;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7,8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млн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рублей – мероприятия по переселению граждан из жилищного фонда, признанного непригодным для проживания. 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2) По разделу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«Коммунальное хозяйство»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(53,7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млн рублей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):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- 1,5 млн рублей -  развитие водоснабжения, водоотведения и очистки сточных вод городского округа город Переславль-Залесский (разработка ПСД, засыпка ш/к с.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Рогозино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, Центральная, 33, обследование ш/к д.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Лосниково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, ул. Центральная, проведение инженерно-экологических изысканий на объекте «Реконструкция очистных сооружений вблизи д.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Соловеново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», погашение кредиторской задолженности прошлых периодов - ремонт участка водопровода (протяженность 140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м.п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.) по адресу: от жилого дома ул. Разведчика Петрова д.1 до пересечения с ул. Октябрьская, услуги по эксплуатации оборудования очистных сооружений канализации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с.Купанское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за 2016 год);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- 2,0 млн рублей - испытание фасадных газопроводов в МКД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с.Купанское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- 2,3 млн рублей - актуализация схемы теплоснабжения, проектно-изыскательские работы для строительства котельных, погашение кредиторской задолженности прошлых периодов - ремонт участка теплотрассы ул. Октябрьская д. 35, ул. Разведчика Петрова д.1,2, разработка схемы теплоснабжения на городской округ город Переславль-Залесский);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– 18,1 млн рублей - погашение кредиторской задолженности прошлых периодов (60+)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– 29,3 млн рублей - модернизация и реформирование объектов ЖКХ (ПСД капитальный ремонт наружных сетей теплоснабжения): замена участка магистрального трубопровода ТМ1 от павильона приборов учета ТМ1 до ЦТП ул. Маяковского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Ду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325-530 мм (без учета участка ТК11-ТК13 ул. Строителей), протяженностью 433 метра; работы по комплексной модернизации 2-х центральных тепловых пунктов № 6, 11 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– 0,5 млн рублей – прочие расходы.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3) По разделу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«Другие вопросы в области жилищно-коммунального хозяйства» (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84,2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млн рублей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: расходы на обеспечение деятельности МКУ «Многофункциональный центр развития города Переславля-Залесского» -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48,1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млн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рублей, обеспечение деятельности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МБУ «Служба ЖКХ и благоустройства» - 36,0 млн рублей, прочие расходы – 0,1 млн рублей.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b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b/>
          <w:sz w:val="26"/>
          <w:szCs w:val="26"/>
          <w:lang w:val="x-none" w:eastAsia="ru-RU"/>
        </w:rPr>
        <w:t xml:space="preserve">На мероприятия в сфере «Благоустройство» направлено </w:t>
      </w:r>
      <w:r w:rsidRPr="00B947A0">
        <w:rPr>
          <w:rFonts w:ascii="Times New Roman" w:eastAsia="Times New Roman" w:hAnsi="Times New Roman"/>
          <w:b/>
          <w:sz w:val="26"/>
          <w:szCs w:val="26"/>
          <w:lang w:eastAsia="ru-RU"/>
        </w:rPr>
        <w:t>15</w:t>
      </w:r>
      <w:r w:rsidRPr="00B947A0">
        <w:rPr>
          <w:rFonts w:ascii="Times New Roman" w:eastAsia="Times New Roman" w:hAnsi="Times New Roman"/>
          <w:b/>
          <w:sz w:val="26"/>
          <w:szCs w:val="26"/>
          <w:lang w:val="x-none" w:eastAsia="ru-RU"/>
        </w:rPr>
        <w:t xml:space="preserve"> млн рублей, в том числе: 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– содержание парков и скверов, детских игровых и спортивных площадок, демонтаж сооружений объектов торговли, содержание мест захоронений, благоустройство кладбищ,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содержание цветников, выкашивание газонов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, уборка упавших деревьев,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акарицидная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обработка общественных территорий, отлов животных, борьба с борщевиком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и т.д.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(12,2 млн рублей);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</w:t>
      </w:r>
    </w:p>
    <w:p w:rsidR="00445A68" w:rsidRPr="00B947A0" w:rsidRDefault="00445A68" w:rsidP="00445A68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– м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ероприятия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в рамках национального проекта «Формирование комфортной городской среды» - благоустройство дворовых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и общественных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территорий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: ул. 50 лет Комсомола 10, 12; с. Нагорье ул. Молодежная 17, ул.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Калязинская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32; пос. Рязанцево ул. Николаева 7, 9; с. Купанское ул. Советская 12, 14, 16, 32, 34;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мкрн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Чкаловский 36, 38;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Парк Победы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этап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(2,2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млн рублей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);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b/>
          <w:sz w:val="26"/>
          <w:szCs w:val="26"/>
          <w:lang w:eastAsia="ru-RU"/>
        </w:rPr>
        <w:lastRenderedPageBreak/>
        <w:t>В сфере «Охрана окружающей среды» 5 млн рублей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было направлено на следующие мероприятия:</w:t>
      </w:r>
    </w:p>
    <w:p w:rsidR="00445A68" w:rsidRPr="00B947A0" w:rsidRDefault="00445A68" w:rsidP="00445A68">
      <w:pPr>
        <w:spacing w:after="0" w:line="240" w:lineRule="auto"/>
        <w:ind w:firstLine="680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- ликвидацию несанкционированных свалок (0,7 млн рублей);</w:t>
      </w:r>
    </w:p>
    <w:p w:rsidR="00445A68" w:rsidRPr="00B947A0" w:rsidRDefault="00445A68" w:rsidP="00445A68">
      <w:pPr>
        <w:spacing w:after="0" w:line="240" w:lineRule="auto"/>
        <w:ind w:firstLine="680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-уборка береговой зоны р. Трубеж (0,5 млн рублей);</w:t>
      </w:r>
    </w:p>
    <w:p w:rsidR="00445A68" w:rsidRPr="00B947A0" w:rsidRDefault="00445A68" w:rsidP="00445A68">
      <w:pPr>
        <w:spacing w:after="0" w:line="240" w:lineRule="auto"/>
        <w:ind w:firstLine="680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- экспертиза ПСД по рекультивации полигона ТКО 147 км трассы Москва-Холмогоры (2,7 млн рублей);</w:t>
      </w:r>
    </w:p>
    <w:p w:rsidR="00445A68" w:rsidRPr="00B947A0" w:rsidRDefault="00445A68" w:rsidP="00445A68">
      <w:pPr>
        <w:spacing w:after="0" w:line="240" w:lineRule="auto"/>
        <w:ind w:firstLine="680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- оплата кредиторской задолженности прошлых лет: разработка проектов зон санитарной охраны водозаборов в с. Купанское, с. Смоленское, д. Горки (210 тыс. рублей), содержание и ремонт контейнерных площадок 1,2 млн рублей.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В 2021 году на сферу </w:t>
      </w:r>
      <w:r w:rsidRPr="00B947A0">
        <w:rPr>
          <w:rFonts w:ascii="Times New Roman" w:eastAsia="Times New Roman" w:hAnsi="Times New Roman"/>
          <w:b/>
          <w:sz w:val="26"/>
          <w:szCs w:val="26"/>
          <w:lang w:val="x-none" w:eastAsia="ru-RU"/>
        </w:rPr>
        <w:t>«Общегосударственны</w:t>
      </w:r>
      <w:r w:rsidRPr="00B947A0">
        <w:rPr>
          <w:rFonts w:ascii="Times New Roman" w:eastAsia="Times New Roman" w:hAnsi="Times New Roman"/>
          <w:b/>
          <w:sz w:val="26"/>
          <w:szCs w:val="26"/>
          <w:lang w:eastAsia="ru-RU"/>
        </w:rPr>
        <w:t>е</w:t>
      </w:r>
      <w:r w:rsidRPr="00B947A0">
        <w:rPr>
          <w:rFonts w:ascii="Times New Roman" w:eastAsia="Times New Roman" w:hAnsi="Times New Roman"/>
          <w:b/>
          <w:sz w:val="26"/>
          <w:szCs w:val="26"/>
          <w:lang w:val="x-none" w:eastAsia="ru-RU"/>
        </w:rPr>
        <w:t xml:space="preserve"> вопрос</w:t>
      </w:r>
      <w:r w:rsidRPr="00B947A0">
        <w:rPr>
          <w:rFonts w:ascii="Times New Roman" w:eastAsia="Times New Roman" w:hAnsi="Times New Roman"/>
          <w:b/>
          <w:sz w:val="26"/>
          <w:szCs w:val="26"/>
          <w:lang w:eastAsia="ru-RU"/>
        </w:rPr>
        <w:t>ы</w:t>
      </w:r>
      <w:r w:rsidRPr="00B947A0">
        <w:rPr>
          <w:rFonts w:ascii="Times New Roman" w:eastAsia="Times New Roman" w:hAnsi="Times New Roman"/>
          <w:b/>
          <w:sz w:val="26"/>
          <w:szCs w:val="26"/>
          <w:lang w:val="x-none" w:eastAsia="ru-RU"/>
        </w:rPr>
        <w:t xml:space="preserve">» направлено </w:t>
      </w:r>
      <w:r w:rsidRPr="00B947A0">
        <w:rPr>
          <w:rFonts w:ascii="Times New Roman" w:eastAsia="Times New Roman" w:hAnsi="Times New Roman"/>
          <w:b/>
          <w:sz w:val="26"/>
          <w:szCs w:val="26"/>
          <w:lang w:eastAsia="ru-RU"/>
        </w:rPr>
        <w:t>193</w:t>
      </w:r>
      <w:r w:rsidRPr="00B947A0">
        <w:rPr>
          <w:rFonts w:ascii="Times New Roman" w:eastAsia="Times New Roman" w:hAnsi="Times New Roman"/>
          <w:b/>
          <w:sz w:val="26"/>
          <w:szCs w:val="26"/>
          <w:lang w:val="x-none" w:eastAsia="ru-RU"/>
        </w:rPr>
        <w:t xml:space="preserve"> млн рублей.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В течение прошлого года средства были направлены на следующие мероприятия: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</w:t>
      </w:r>
    </w:p>
    <w:p w:rsidR="00445A68" w:rsidRPr="00B947A0" w:rsidRDefault="00445A68" w:rsidP="00445A68">
      <w:pPr>
        <w:spacing w:after="0" w:line="240" w:lineRule="auto"/>
        <w:ind w:left="680"/>
        <w:jc w:val="both"/>
        <w:rPr>
          <w:rFonts w:ascii="Times New Roman" w:eastAsia="Times New Roman" w:hAnsi="Times New Roman"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содержание органов местного самоуправления –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86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млн рублей;</w:t>
      </w:r>
    </w:p>
    <w:p w:rsidR="00445A68" w:rsidRPr="00B947A0" w:rsidRDefault="00445A68" w:rsidP="00445A68">
      <w:pPr>
        <w:spacing w:after="0" w:line="240" w:lineRule="auto"/>
        <w:ind w:left="680"/>
        <w:jc w:val="both"/>
        <w:rPr>
          <w:rFonts w:ascii="Times New Roman" w:eastAsia="Times New Roman" w:hAnsi="Times New Roman"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другие общегосударственные вопросы –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содержание МУ «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лужба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обеспечения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и единая дежурно-диспетчерская служба»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, оплат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услуг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АНО «Редакция газеты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«Переславская неделя», депутатская деятельность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– 100 млн рублей;</w:t>
      </w:r>
    </w:p>
    <w:p w:rsidR="00445A68" w:rsidRPr="00B947A0" w:rsidRDefault="00445A68" w:rsidP="00445A68">
      <w:pPr>
        <w:spacing w:after="0" w:line="240" w:lineRule="auto"/>
        <w:ind w:left="680"/>
        <w:jc w:val="both"/>
        <w:rPr>
          <w:rFonts w:ascii="Times New Roman" w:eastAsia="Times New Roman" w:hAnsi="Times New Roman"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- обслуживание муниципального долга – 7 млн рублей. 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b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b/>
          <w:sz w:val="26"/>
          <w:szCs w:val="26"/>
          <w:lang w:val="x-none" w:eastAsia="ru-RU"/>
        </w:rPr>
        <w:t xml:space="preserve">На расходы </w:t>
      </w:r>
      <w:r w:rsidRPr="00B947A0">
        <w:rPr>
          <w:rFonts w:ascii="Times New Roman" w:eastAsia="Times New Roman" w:hAnsi="Times New Roman"/>
          <w:b/>
          <w:sz w:val="26"/>
          <w:szCs w:val="26"/>
          <w:lang w:eastAsia="ru-RU"/>
        </w:rPr>
        <w:t>в сфере</w:t>
      </w:r>
      <w:r w:rsidRPr="00B947A0">
        <w:rPr>
          <w:rFonts w:ascii="Times New Roman" w:eastAsia="Times New Roman" w:hAnsi="Times New Roman"/>
          <w:b/>
          <w:sz w:val="26"/>
          <w:szCs w:val="26"/>
          <w:lang w:val="x-none" w:eastAsia="ru-RU"/>
        </w:rPr>
        <w:t xml:space="preserve"> «Национальная экономика</w:t>
      </w:r>
      <w:r w:rsidRPr="00B947A0">
        <w:rPr>
          <w:rFonts w:ascii="Times New Roman" w:eastAsia="Times New Roman" w:hAnsi="Times New Roman"/>
          <w:b/>
          <w:sz w:val="26"/>
          <w:szCs w:val="26"/>
          <w:lang w:eastAsia="ru-RU"/>
        </w:rPr>
        <w:t>, безопасность, правопорядок</w:t>
      </w:r>
      <w:r w:rsidRPr="00B947A0">
        <w:rPr>
          <w:rFonts w:ascii="Times New Roman" w:eastAsia="Times New Roman" w:hAnsi="Times New Roman"/>
          <w:b/>
          <w:sz w:val="26"/>
          <w:szCs w:val="26"/>
          <w:lang w:val="x-none" w:eastAsia="ru-RU"/>
        </w:rPr>
        <w:t xml:space="preserve">» было направлено </w:t>
      </w:r>
      <w:r w:rsidRPr="00B947A0">
        <w:rPr>
          <w:rFonts w:ascii="Times New Roman" w:eastAsia="Times New Roman" w:hAnsi="Times New Roman"/>
          <w:b/>
          <w:sz w:val="26"/>
          <w:szCs w:val="26"/>
          <w:lang w:eastAsia="ru-RU"/>
        </w:rPr>
        <w:t>119</w:t>
      </w:r>
      <w:r w:rsidRPr="00B947A0">
        <w:rPr>
          <w:rFonts w:ascii="Times New Roman" w:eastAsia="Times New Roman" w:hAnsi="Times New Roman"/>
          <w:b/>
          <w:sz w:val="26"/>
          <w:szCs w:val="26"/>
          <w:lang w:val="x-none" w:eastAsia="ru-RU"/>
        </w:rPr>
        <w:t xml:space="preserve"> млн рублей из них: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1) По разделу «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Дорожное хозяйство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–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98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млн рублей, в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т.ч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.: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- содержание и ремонт объектов уличного освещения на сумму 32 млн рублей;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- капитальный и текущий ремонт, содержание дорог на сумму 49,9 млн рублей (ремонт автомобильных дорог: ул. Строителей, пер. Призывной, ул. Полевая,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Аниково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- Борисово, ул. Борисоглебская, пер. Музейный, ул. Кооперативная (от ул. Строителей до ул. Октябрьская), ул.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Кошелевская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, ул. Октябрьская (от ул. Кооперативная до ул. Кошкина); ямочный ремонт; зимнее и летнее содержание дорог);</w:t>
      </w:r>
    </w:p>
    <w:p w:rsidR="00445A68" w:rsidRPr="00B947A0" w:rsidRDefault="00445A68" w:rsidP="00445A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- дорожные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работы на дворовых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и общественных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территориях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в рамках национального проекта «Формирование комфортной городской среды»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на сумму 16,1 млн рублей (ул. 50 лет Комсомола 10, 12; с. Нагорье ул. Молодежная 17, ул.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Калязинская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32; пос. Рязанцево ул. Николаева 7, 9; с. Купанское ул. Советская 12, 14, 16, 32, 34;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мкрн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Чкаловский 36, 38;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Парк Победы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этап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).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2) По разделу «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Другие вопросы в области национальной экономики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: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- пассажирские перевозки – 17,9 млн рублей; 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- мероприятия по землеустройству – 0,7 млн рублей;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- ликвидационные мероприятия (ТИЦ) – 0,7 млн рублей.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3) По разделу «Безопасность и правопорядок» (1,4 млн рублей):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- обустройство пожарных водоемов (с. Берендеево, д. Перелески, д.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Микляево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, с. Нагорье, с.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Копнино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, с. Дубровицы, с.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Скулино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);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- приобретение и установка комплекса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электросиренного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оповещения пос. Берендеево.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В 202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году в рамках реализации национальных проектов были выполнены следующие мероприятия: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- нацпроект Образование «Современная школа» - созданы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центр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ов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образования цифрового и гуманитарного профилей «Точка роста»: МОУ СШ № 4, МОУ СШ № 6, МОУ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Новская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ОШ, МОУ Ивановская СШ, МОУ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Кубринская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СШ, МОУ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Дубковская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СШ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на сумму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7,3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млн рублей;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lastRenderedPageBreak/>
        <w:t xml:space="preserve">- нацпроект Образование «Успех каждого ребенка» - отремонтирован спортивный зал в МОУ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Купанская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СШ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на сумму 2,4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млн рублей;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- нацпроект Демография «Финансовая поддержка семей при рождении детей» - выплачена субвенция на рождение 3-го и последующих детей (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51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млн рублей), субвенция на осуществление выплат в связи с рождением (усыновлением) первого ребенка (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42,7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млн рублей);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- нацпроект Жилье и городская среда «Формирование комфортной городской среды»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: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благоустроены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дворовых территорий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и 1 общественная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(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ул. 50 лет Комсомола 10, 12; с. Нагорье ул. Молодежная 17, ул.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Калязинская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32; пос. Рязанцево ул. Николаева 7, 9; с. Купанское ул. Советская 12, 14, 16, 32, 34;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мкрн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Чкаловский 36, 38;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Парк Победы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этап)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на сумму 18,3 млн рублей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; </w:t>
      </w:r>
    </w:p>
    <w:p w:rsidR="00445A68" w:rsidRPr="00B947A0" w:rsidRDefault="00445A68" w:rsidP="00445A68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val="x-none"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При реализации г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убернаторского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проекта «Решаем вместе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!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» 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выполнены следующие мероприятия: </w:t>
      </w:r>
    </w:p>
    <w:p w:rsidR="00445A68" w:rsidRPr="00B947A0" w:rsidRDefault="00445A68" w:rsidP="00445A6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отремонтирован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спортивный зал МОУ СШ № 1; </w:t>
      </w:r>
    </w:p>
    <w:p w:rsidR="00445A68" w:rsidRPr="00B947A0" w:rsidRDefault="00445A68" w:rsidP="00445A6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- отремонтирован пищеблок МОУ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Нагорьевская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СШ; </w:t>
      </w:r>
    </w:p>
    <w:p w:rsidR="00445A68" w:rsidRPr="00B947A0" w:rsidRDefault="00445A68" w:rsidP="00445A6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>МОУ «Гимназия» - обновлен фасад школы, установ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лен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навес над входом, замен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ены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оконны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B947A0">
        <w:rPr>
          <w:rFonts w:ascii="Times New Roman" w:eastAsia="Times New Roman" w:hAnsi="Times New Roman"/>
          <w:sz w:val="26"/>
          <w:szCs w:val="26"/>
          <w:lang w:val="x-none" w:eastAsia="ru-RU"/>
        </w:rPr>
        <w:t xml:space="preserve"> блоки</w:t>
      </w: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445A68" w:rsidRPr="00B947A0" w:rsidRDefault="00445A68" w:rsidP="00445A6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- произведен капитальный ремонт крыши и косметический ремонт помещений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Горкинского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ДК, ремонт сцены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Рязанцевкого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 ДК;</w:t>
      </w:r>
    </w:p>
    <w:p w:rsidR="00445A68" w:rsidRPr="00B947A0" w:rsidRDefault="00445A68" w:rsidP="00445A6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- обустроена спортивная площадка пос. Рязанцево.</w:t>
      </w:r>
    </w:p>
    <w:p w:rsidR="00D57C70" w:rsidRPr="00B947A0" w:rsidRDefault="00445A68" w:rsidP="00445A6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 xml:space="preserve">В рамках проекта «Культура» создана модельная муниципальная библиотека и произведен капитальный ремонт библиотеки им. </w:t>
      </w:r>
      <w:proofErr w:type="spellStart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А.Невского</w:t>
      </w:r>
      <w:proofErr w:type="spellEnd"/>
      <w:r w:rsidRPr="00B947A0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D57C70" w:rsidRPr="00B947A0" w:rsidRDefault="00D57C70" w:rsidP="00A70F7B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2D19" w:rsidRPr="00B947A0" w:rsidRDefault="00E32D19" w:rsidP="00A70F7B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7A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оценка результативности и эффективности программ</w:t>
      </w:r>
    </w:p>
    <w:p w:rsidR="00E32D19" w:rsidRPr="00B947A0" w:rsidRDefault="00E32D19" w:rsidP="00411BE5">
      <w:pPr>
        <w:spacing w:after="0" w:line="240" w:lineRule="auto"/>
        <w:ind w:left="900" w:right="60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2D19" w:rsidRPr="00B947A0" w:rsidRDefault="00586FD6" w:rsidP="0082723C">
      <w:pPr>
        <w:shd w:val="clear" w:color="auto" w:fill="FFFFFF" w:themeFill="background1"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="00EB0C07" w:rsidRPr="00B947A0">
        <w:rPr>
          <w:rFonts w:ascii="Times New Roman" w:eastAsia="Times New Roman" w:hAnsi="Times New Roman"/>
          <w:sz w:val="24"/>
          <w:szCs w:val="24"/>
          <w:lang w:eastAsia="ru-RU"/>
        </w:rPr>
        <w:t>66</w:t>
      </w:r>
      <w:r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32D19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из </w:t>
      </w:r>
      <w:r w:rsidR="008A785B" w:rsidRPr="00B947A0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="009574D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E32D19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 целевых</w:t>
      </w:r>
      <w:r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32D19" w:rsidRPr="00B947A0">
        <w:rPr>
          <w:rFonts w:ascii="Times New Roman" w:eastAsia="Times New Roman" w:hAnsi="Times New Roman"/>
          <w:sz w:val="24"/>
          <w:szCs w:val="24"/>
          <w:lang w:eastAsia="ru-RU"/>
        </w:rPr>
        <w:t>индикаторов, по кото</w:t>
      </w:r>
      <w:r w:rsidR="00371B4F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рым к моменту отчета </w:t>
      </w:r>
      <w:r w:rsidR="00E32D19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ответственными исполнителями представлена информация, плановые значения </w:t>
      </w:r>
      <w:r w:rsidRPr="00B947A0">
        <w:rPr>
          <w:rFonts w:ascii="Times New Roman" w:eastAsia="Times New Roman" w:hAnsi="Times New Roman"/>
          <w:sz w:val="24"/>
          <w:szCs w:val="24"/>
          <w:lang w:eastAsia="ru-RU"/>
        </w:rPr>
        <w:t>достигнуты или</w:t>
      </w:r>
      <w:r w:rsidR="00E32D19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выполнены более чем на 100%</w:t>
      </w:r>
      <w:r w:rsidR="002724B3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ровно на 100%</w:t>
      </w:r>
      <w:r w:rsidR="00E32D19" w:rsidRPr="00B947A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32D19" w:rsidRPr="00B947A0" w:rsidRDefault="00E32D19" w:rsidP="0082723C">
      <w:pPr>
        <w:shd w:val="clear" w:color="auto" w:fill="FFFFFF" w:themeFill="background1"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7A0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 xml:space="preserve">По </w:t>
      </w:r>
      <w:r w:rsidR="00D87E82" w:rsidRPr="00B947A0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>5</w:t>
      </w:r>
      <w:r w:rsidR="00586FD6" w:rsidRPr="00B947A0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 xml:space="preserve"> показател</w:t>
      </w:r>
      <w:r w:rsidR="00EA1B36" w:rsidRPr="00B947A0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>ям</w:t>
      </w:r>
      <w:r w:rsidR="00586FD6" w:rsidRPr="00B947A0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 xml:space="preserve"> </w:t>
      </w:r>
      <w:r w:rsidRPr="00B947A0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 xml:space="preserve">из </w:t>
      </w:r>
      <w:r w:rsidR="008A785B" w:rsidRPr="00B947A0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>12</w:t>
      </w:r>
      <w:r w:rsidR="009574DB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>4</w:t>
      </w:r>
      <w:r w:rsidRPr="00B947A0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ru-RU"/>
        </w:rPr>
        <w:t xml:space="preserve"> степень выполнения плана определить невозможно из-за отсутствия информации.</w:t>
      </w:r>
      <w:r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 В сравнении с 20</w:t>
      </w:r>
      <w:r w:rsidR="00D87E82" w:rsidRPr="00B947A0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годом количество целевых индикаторов </w:t>
      </w:r>
      <w:r w:rsidR="00D87E82" w:rsidRPr="00B947A0">
        <w:rPr>
          <w:rFonts w:ascii="Times New Roman" w:eastAsia="Times New Roman" w:hAnsi="Times New Roman"/>
          <w:sz w:val="24"/>
          <w:szCs w:val="24"/>
          <w:lang w:eastAsia="ru-RU"/>
        </w:rPr>
        <w:t>увеличилось</w:t>
      </w:r>
      <w:r w:rsidR="006426EA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r w:rsidR="009574D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, а количество не представленных </w:t>
      </w:r>
      <w:r w:rsidR="008A785B" w:rsidRPr="00B947A0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D87E82" w:rsidRPr="00B947A0">
        <w:rPr>
          <w:rFonts w:ascii="Times New Roman" w:eastAsia="Times New Roman" w:hAnsi="Times New Roman"/>
          <w:sz w:val="24"/>
          <w:szCs w:val="24"/>
          <w:lang w:eastAsia="ru-RU"/>
        </w:rPr>
        <w:t>меньшилось</w:t>
      </w:r>
      <w:r w:rsidR="008A785B" w:rsidRPr="00B947A0">
        <w:rPr>
          <w:rFonts w:ascii="Times New Roman" w:eastAsia="Times New Roman" w:hAnsi="Times New Roman"/>
          <w:sz w:val="24"/>
          <w:szCs w:val="24"/>
          <w:lang w:eastAsia="ru-RU"/>
        </w:rPr>
        <w:t xml:space="preserve"> до </w:t>
      </w:r>
      <w:r w:rsidR="00D87E82" w:rsidRPr="00B947A0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B947A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32D19" w:rsidRPr="00D17AB0" w:rsidRDefault="00E32D19" w:rsidP="0082723C">
      <w:pPr>
        <w:shd w:val="clear" w:color="auto" w:fill="FFFFFF" w:themeFill="background1"/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7A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 xml:space="preserve">Оценка эффективности ведомственных и </w:t>
      </w:r>
      <w:r w:rsidR="0082723C" w:rsidRPr="00B947A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городских</w:t>
      </w:r>
      <w:r w:rsidRPr="00B947A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 xml:space="preserve"> целевых программ</w:t>
      </w:r>
      <w:r w:rsidR="0082723C" w:rsidRPr="00B947A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, проведённая в соответствии с п</w:t>
      </w:r>
      <w:r w:rsidRPr="00B947A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остано</w:t>
      </w:r>
      <w:bookmarkStart w:id="0" w:name="_GoBack"/>
      <w:bookmarkEnd w:id="0"/>
      <w:r w:rsidRPr="00B947A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влением Мэ</w:t>
      </w:r>
      <w:r w:rsidR="00C62025" w:rsidRPr="00B947A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ра г. Переславля-Залесского от 1</w:t>
      </w:r>
      <w:r w:rsidRPr="00B947A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1.</w:t>
      </w:r>
      <w:r w:rsidR="00C62025" w:rsidRPr="00B947A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08.2006 года №1002</w:t>
      </w:r>
      <w:r w:rsidRPr="00B947A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 xml:space="preserve"> «Об утверждении порядка разработки, принятия и реализации целевых программ», представлена в приложении </w:t>
      </w:r>
      <w:r w:rsidR="002B35D6" w:rsidRPr="00B947A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«Рейтинг целевых программ по итоговой сводной оценке баллов за 20</w:t>
      </w:r>
      <w:r w:rsidR="008A785B" w:rsidRPr="00B947A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2</w:t>
      </w:r>
      <w:r w:rsidR="002C6413" w:rsidRPr="00B947A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1</w:t>
      </w:r>
      <w:r w:rsidR="002B35D6" w:rsidRPr="00B947A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 xml:space="preserve"> год»</w:t>
      </w:r>
      <w:r w:rsidRPr="00B947A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 w:themeFill="background1"/>
          <w:lang w:eastAsia="ru-RU"/>
        </w:rPr>
        <w:t>.</w:t>
      </w:r>
    </w:p>
    <w:p w:rsidR="00E32D19" w:rsidRDefault="00E32D19" w:rsidP="00E32D19"/>
    <w:sectPr w:rsidR="00E32D19" w:rsidSect="00145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1068A"/>
    <w:multiLevelType w:val="hybridMultilevel"/>
    <w:tmpl w:val="0024E5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1317F"/>
    <w:multiLevelType w:val="hybridMultilevel"/>
    <w:tmpl w:val="0316E0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48F"/>
    <w:rsid w:val="00000282"/>
    <w:rsid w:val="00002513"/>
    <w:rsid w:val="00004141"/>
    <w:rsid w:val="00017E89"/>
    <w:rsid w:val="000306C0"/>
    <w:rsid w:val="0003725B"/>
    <w:rsid w:val="0004003D"/>
    <w:rsid w:val="0004675A"/>
    <w:rsid w:val="000470C4"/>
    <w:rsid w:val="0005048F"/>
    <w:rsid w:val="00054144"/>
    <w:rsid w:val="0005525B"/>
    <w:rsid w:val="00060340"/>
    <w:rsid w:val="0006793E"/>
    <w:rsid w:val="000712A2"/>
    <w:rsid w:val="00083810"/>
    <w:rsid w:val="00091F17"/>
    <w:rsid w:val="000A1C5B"/>
    <w:rsid w:val="000A31B2"/>
    <w:rsid w:val="000A63DB"/>
    <w:rsid w:val="000A72F3"/>
    <w:rsid w:val="000B6366"/>
    <w:rsid w:val="000C272F"/>
    <w:rsid w:val="000C7C71"/>
    <w:rsid w:val="000D0C0E"/>
    <w:rsid w:val="000D60E7"/>
    <w:rsid w:val="000E5FBA"/>
    <w:rsid w:val="000F5555"/>
    <w:rsid w:val="001048F4"/>
    <w:rsid w:val="00111032"/>
    <w:rsid w:val="00111FB4"/>
    <w:rsid w:val="00114F28"/>
    <w:rsid w:val="00115541"/>
    <w:rsid w:val="00121E9D"/>
    <w:rsid w:val="00125172"/>
    <w:rsid w:val="00130BCC"/>
    <w:rsid w:val="00137665"/>
    <w:rsid w:val="00141301"/>
    <w:rsid w:val="00143728"/>
    <w:rsid w:val="00145DF7"/>
    <w:rsid w:val="00147559"/>
    <w:rsid w:val="001506B1"/>
    <w:rsid w:val="00152517"/>
    <w:rsid w:val="00153273"/>
    <w:rsid w:val="00163CB1"/>
    <w:rsid w:val="001667E5"/>
    <w:rsid w:val="00166A37"/>
    <w:rsid w:val="00167C42"/>
    <w:rsid w:val="00172C20"/>
    <w:rsid w:val="0017568D"/>
    <w:rsid w:val="00183FCE"/>
    <w:rsid w:val="00185F08"/>
    <w:rsid w:val="001920D5"/>
    <w:rsid w:val="00192B04"/>
    <w:rsid w:val="0019374B"/>
    <w:rsid w:val="00194705"/>
    <w:rsid w:val="001A535B"/>
    <w:rsid w:val="001B24E0"/>
    <w:rsid w:val="001B26BC"/>
    <w:rsid w:val="001B4EC7"/>
    <w:rsid w:val="001B6054"/>
    <w:rsid w:val="001C1B05"/>
    <w:rsid w:val="001C3A6F"/>
    <w:rsid w:val="001C3BDE"/>
    <w:rsid w:val="001C4CB1"/>
    <w:rsid w:val="001D0020"/>
    <w:rsid w:val="001D75F0"/>
    <w:rsid w:val="001E093A"/>
    <w:rsid w:val="001E12AF"/>
    <w:rsid w:val="001E6F62"/>
    <w:rsid w:val="001E70E9"/>
    <w:rsid w:val="001F6DF4"/>
    <w:rsid w:val="001F757B"/>
    <w:rsid w:val="0020416B"/>
    <w:rsid w:val="002166B6"/>
    <w:rsid w:val="0021745F"/>
    <w:rsid w:val="00217A98"/>
    <w:rsid w:val="00217D6A"/>
    <w:rsid w:val="002202A2"/>
    <w:rsid w:val="002274C3"/>
    <w:rsid w:val="002378AF"/>
    <w:rsid w:val="00247CD8"/>
    <w:rsid w:val="00247F9B"/>
    <w:rsid w:val="0025084D"/>
    <w:rsid w:val="00251B7D"/>
    <w:rsid w:val="00254EBE"/>
    <w:rsid w:val="00263A16"/>
    <w:rsid w:val="00264095"/>
    <w:rsid w:val="0026602A"/>
    <w:rsid w:val="00266734"/>
    <w:rsid w:val="002724B3"/>
    <w:rsid w:val="002729F7"/>
    <w:rsid w:val="00286B90"/>
    <w:rsid w:val="00287A10"/>
    <w:rsid w:val="00290951"/>
    <w:rsid w:val="00292A7E"/>
    <w:rsid w:val="0029306F"/>
    <w:rsid w:val="002A1E6C"/>
    <w:rsid w:val="002B35D6"/>
    <w:rsid w:val="002B3CDA"/>
    <w:rsid w:val="002C1DDA"/>
    <w:rsid w:val="002C55BD"/>
    <w:rsid w:val="002C6413"/>
    <w:rsid w:val="002E6724"/>
    <w:rsid w:val="002F4CFA"/>
    <w:rsid w:val="002F5FBC"/>
    <w:rsid w:val="0030131A"/>
    <w:rsid w:val="00304B41"/>
    <w:rsid w:val="003055A4"/>
    <w:rsid w:val="0032030C"/>
    <w:rsid w:val="0032074A"/>
    <w:rsid w:val="00326823"/>
    <w:rsid w:val="0033090B"/>
    <w:rsid w:val="00331A8F"/>
    <w:rsid w:val="00331F84"/>
    <w:rsid w:val="003336F5"/>
    <w:rsid w:val="003537E8"/>
    <w:rsid w:val="003671C2"/>
    <w:rsid w:val="003705FC"/>
    <w:rsid w:val="00370E16"/>
    <w:rsid w:val="00371B4F"/>
    <w:rsid w:val="00373C82"/>
    <w:rsid w:val="00375232"/>
    <w:rsid w:val="0037662C"/>
    <w:rsid w:val="00385C1E"/>
    <w:rsid w:val="00390912"/>
    <w:rsid w:val="00392E4A"/>
    <w:rsid w:val="003954AD"/>
    <w:rsid w:val="003965EB"/>
    <w:rsid w:val="003A2150"/>
    <w:rsid w:val="003B0D80"/>
    <w:rsid w:val="003B1D6C"/>
    <w:rsid w:val="003B5A3E"/>
    <w:rsid w:val="003B6920"/>
    <w:rsid w:val="003C7CF5"/>
    <w:rsid w:val="003D1C21"/>
    <w:rsid w:val="003D3901"/>
    <w:rsid w:val="003D5217"/>
    <w:rsid w:val="003D729B"/>
    <w:rsid w:val="0040286E"/>
    <w:rsid w:val="00406797"/>
    <w:rsid w:val="00411BE5"/>
    <w:rsid w:val="00414C08"/>
    <w:rsid w:val="00421911"/>
    <w:rsid w:val="00421D02"/>
    <w:rsid w:val="0042376D"/>
    <w:rsid w:val="00431FB2"/>
    <w:rsid w:val="00432653"/>
    <w:rsid w:val="0043288D"/>
    <w:rsid w:val="004330C9"/>
    <w:rsid w:val="00441493"/>
    <w:rsid w:val="00445A68"/>
    <w:rsid w:val="00447E9F"/>
    <w:rsid w:val="00450E00"/>
    <w:rsid w:val="00451338"/>
    <w:rsid w:val="00463065"/>
    <w:rsid w:val="004639EB"/>
    <w:rsid w:val="0046507C"/>
    <w:rsid w:val="004667B0"/>
    <w:rsid w:val="00473DF2"/>
    <w:rsid w:val="00477062"/>
    <w:rsid w:val="00487428"/>
    <w:rsid w:val="004927E2"/>
    <w:rsid w:val="00493D82"/>
    <w:rsid w:val="00495334"/>
    <w:rsid w:val="00497537"/>
    <w:rsid w:val="004A1BC0"/>
    <w:rsid w:val="004A4324"/>
    <w:rsid w:val="004A5A22"/>
    <w:rsid w:val="004B260C"/>
    <w:rsid w:val="004C11D2"/>
    <w:rsid w:val="004C22CB"/>
    <w:rsid w:val="004C2C78"/>
    <w:rsid w:val="004D77F5"/>
    <w:rsid w:val="004E087F"/>
    <w:rsid w:val="004E2DBE"/>
    <w:rsid w:val="004E32D9"/>
    <w:rsid w:val="004E735C"/>
    <w:rsid w:val="004F1348"/>
    <w:rsid w:val="004F337F"/>
    <w:rsid w:val="004F4797"/>
    <w:rsid w:val="00501229"/>
    <w:rsid w:val="00503592"/>
    <w:rsid w:val="00504806"/>
    <w:rsid w:val="00511B00"/>
    <w:rsid w:val="00513CC3"/>
    <w:rsid w:val="00516F18"/>
    <w:rsid w:val="00530D22"/>
    <w:rsid w:val="005311B7"/>
    <w:rsid w:val="00546E3F"/>
    <w:rsid w:val="005473C4"/>
    <w:rsid w:val="0055500A"/>
    <w:rsid w:val="0057026C"/>
    <w:rsid w:val="00580A20"/>
    <w:rsid w:val="00583E03"/>
    <w:rsid w:val="00585321"/>
    <w:rsid w:val="00586FD6"/>
    <w:rsid w:val="00592084"/>
    <w:rsid w:val="005955D7"/>
    <w:rsid w:val="00597D4B"/>
    <w:rsid w:val="005A17D2"/>
    <w:rsid w:val="005A1C9C"/>
    <w:rsid w:val="005B504D"/>
    <w:rsid w:val="005C14FD"/>
    <w:rsid w:val="005C224C"/>
    <w:rsid w:val="005C65C0"/>
    <w:rsid w:val="005D02E1"/>
    <w:rsid w:val="005D1656"/>
    <w:rsid w:val="005E37F8"/>
    <w:rsid w:val="005E41EE"/>
    <w:rsid w:val="005E6594"/>
    <w:rsid w:val="005E724A"/>
    <w:rsid w:val="005F0B76"/>
    <w:rsid w:val="005F32E4"/>
    <w:rsid w:val="005F3AC9"/>
    <w:rsid w:val="0061366A"/>
    <w:rsid w:val="006172CE"/>
    <w:rsid w:val="00620FD9"/>
    <w:rsid w:val="006426EA"/>
    <w:rsid w:val="006435F8"/>
    <w:rsid w:val="00644996"/>
    <w:rsid w:val="00645E33"/>
    <w:rsid w:val="00654E5D"/>
    <w:rsid w:val="00656BF0"/>
    <w:rsid w:val="00664496"/>
    <w:rsid w:val="00666AC4"/>
    <w:rsid w:val="00670E5B"/>
    <w:rsid w:val="00671ED5"/>
    <w:rsid w:val="006724A3"/>
    <w:rsid w:val="00685105"/>
    <w:rsid w:val="006865D9"/>
    <w:rsid w:val="00692933"/>
    <w:rsid w:val="00694FA3"/>
    <w:rsid w:val="0069672E"/>
    <w:rsid w:val="006A2364"/>
    <w:rsid w:val="006C1685"/>
    <w:rsid w:val="006C1B1B"/>
    <w:rsid w:val="006E34D9"/>
    <w:rsid w:val="006E4B72"/>
    <w:rsid w:val="006E61AA"/>
    <w:rsid w:val="006E7AD1"/>
    <w:rsid w:val="006F0190"/>
    <w:rsid w:val="006F7C05"/>
    <w:rsid w:val="00700162"/>
    <w:rsid w:val="0070558E"/>
    <w:rsid w:val="00717E3F"/>
    <w:rsid w:val="0073624B"/>
    <w:rsid w:val="00750A63"/>
    <w:rsid w:val="00753D53"/>
    <w:rsid w:val="007569C3"/>
    <w:rsid w:val="007576B9"/>
    <w:rsid w:val="0076089A"/>
    <w:rsid w:val="00761F7E"/>
    <w:rsid w:val="007657CB"/>
    <w:rsid w:val="00770765"/>
    <w:rsid w:val="00770968"/>
    <w:rsid w:val="00781BC4"/>
    <w:rsid w:val="007831C6"/>
    <w:rsid w:val="007876F2"/>
    <w:rsid w:val="00790ED4"/>
    <w:rsid w:val="007931FD"/>
    <w:rsid w:val="007A6E6C"/>
    <w:rsid w:val="007A70DD"/>
    <w:rsid w:val="007A72FF"/>
    <w:rsid w:val="007A7CA9"/>
    <w:rsid w:val="007B0332"/>
    <w:rsid w:val="007B331A"/>
    <w:rsid w:val="007B3F65"/>
    <w:rsid w:val="007C06C9"/>
    <w:rsid w:val="007E1FB7"/>
    <w:rsid w:val="007E7B0A"/>
    <w:rsid w:val="00800E77"/>
    <w:rsid w:val="00804E39"/>
    <w:rsid w:val="00806579"/>
    <w:rsid w:val="0080739F"/>
    <w:rsid w:val="0081159D"/>
    <w:rsid w:val="0082395A"/>
    <w:rsid w:val="00826402"/>
    <w:rsid w:val="0082723C"/>
    <w:rsid w:val="00831EBF"/>
    <w:rsid w:val="008417A8"/>
    <w:rsid w:val="0084206E"/>
    <w:rsid w:val="008440F7"/>
    <w:rsid w:val="00844F75"/>
    <w:rsid w:val="008511E3"/>
    <w:rsid w:val="00857B32"/>
    <w:rsid w:val="00857FDC"/>
    <w:rsid w:val="00860455"/>
    <w:rsid w:val="00863D14"/>
    <w:rsid w:val="008676DD"/>
    <w:rsid w:val="00873A24"/>
    <w:rsid w:val="0088113C"/>
    <w:rsid w:val="00884120"/>
    <w:rsid w:val="00884D33"/>
    <w:rsid w:val="00886480"/>
    <w:rsid w:val="00887960"/>
    <w:rsid w:val="008A3812"/>
    <w:rsid w:val="008A785B"/>
    <w:rsid w:val="008B3582"/>
    <w:rsid w:val="008B5BC5"/>
    <w:rsid w:val="008B5E1A"/>
    <w:rsid w:val="008B7F08"/>
    <w:rsid w:val="008C4081"/>
    <w:rsid w:val="008D2FAD"/>
    <w:rsid w:val="008F13C3"/>
    <w:rsid w:val="008F5307"/>
    <w:rsid w:val="008F62B6"/>
    <w:rsid w:val="009067B6"/>
    <w:rsid w:val="00906EA9"/>
    <w:rsid w:val="009072B3"/>
    <w:rsid w:val="0091160A"/>
    <w:rsid w:val="0091190E"/>
    <w:rsid w:val="00934A89"/>
    <w:rsid w:val="00942779"/>
    <w:rsid w:val="00945429"/>
    <w:rsid w:val="00954CCC"/>
    <w:rsid w:val="009574DB"/>
    <w:rsid w:val="0096350F"/>
    <w:rsid w:val="00964093"/>
    <w:rsid w:val="009642C2"/>
    <w:rsid w:val="00965691"/>
    <w:rsid w:val="009764A4"/>
    <w:rsid w:val="00984C0C"/>
    <w:rsid w:val="00986576"/>
    <w:rsid w:val="0099043B"/>
    <w:rsid w:val="00990452"/>
    <w:rsid w:val="009944D2"/>
    <w:rsid w:val="00997E6B"/>
    <w:rsid w:val="009A3AA2"/>
    <w:rsid w:val="009A47F7"/>
    <w:rsid w:val="009A7E07"/>
    <w:rsid w:val="009B2063"/>
    <w:rsid w:val="009B3162"/>
    <w:rsid w:val="009B6350"/>
    <w:rsid w:val="009D262A"/>
    <w:rsid w:val="009D3269"/>
    <w:rsid w:val="009D5300"/>
    <w:rsid w:val="009E3E11"/>
    <w:rsid w:val="009E566A"/>
    <w:rsid w:val="009E670C"/>
    <w:rsid w:val="009E6A60"/>
    <w:rsid w:val="009F6A6D"/>
    <w:rsid w:val="00A15529"/>
    <w:rsid w:val="00A27874"/>
    <w:rsid w:val="00A311DB"/>
    <w:rsid w:val="00A327C9"/>
    <w:rsid w:val="00A3712F"/>
    <w:rsid w:val="00A427EC"/>
    <w:rsid w:val="00A43122"/>
    <w:rsid w:val="00A45309"/>
    <w:rsid w:val="00A542E6"/>
    <w:rsid w:val="00A55888"/>
    <w:rsid w:val="00A57EE8"/>
    <w:rsid w:val="00A70F7B"/>
    <w:rsid w:val="00A7313B"/>
    <w:rsid w:val="00A8017B"/>
    <w:rsid w:val="00A87898"/>
    <w:rsid w:val="00AA0B5A"/>
    <w:rsid w:val="00AB316F"/>
    <w:rsid w:val="00AC0AB0"/>
    <w:rsid w:val="00AC162A"/>
    <w:rsid w:val="00AC28DD"/>
    <w:rsid w:val="00AC4290"/>
    <w:rsid w:val="00AC57D9"/>
    <w:rsid w:val="00AC57FA"/>
    <w:rsid w:val="00AC5C3F"/>
    <w:rsid w:val="00AE211F"/>
    <w:rsid w:val="00AE3218"/>
    <w:rsid w:val="00AE4EF8"/>
    <w:rsid w:val="00AE5259"/>
    <w:rsid w:val="00AF7DEE"/>
    <w:rsid w:val="00B06A2B"/>
    <w:rsid w:val="00B16992"/>
    <w:rsid w:val="00B3173F"/>
    <w:rsid w:val="00B32809"/>
    <w:rsid w:val="00B3775C"/>
    <w:rsid w:val="00B420BC"/>
    <w:rsid w:val="00B4438E"/>
    <w:rsid w:val="00B51075"/>
    <w:rsid w:val="00B538C5"/>
    <w:rsid w:val="00B740AF"/>
    <w:rsid w:val="00B8013B"/>
    <w:rsid w:val="00B8157F"/>
    <w:rsid w:val="00B847CC"/>
    <w:rsid w:val="00B93F1A"/>
    <w:rsid w:val="00B947A0"/>
    <w:rsid w:val="00BA209F"/>
    <w:rsid w:val="00BA2666"/>
    <w:rsid w:val="00BA560B"/>
    <w:rsid w:val="00BB3765"/>
    <w:rsid w:val="00BB41C3"/>
    <w:rsid w:val="00BC100D"/>
    <w:rsid w:val="00BC132F"/>
    <w:rsid w:val="00BC3C09"/>
    <w:rsid w:val="00BC6B4E"/>
    <w:rsid w:val="00BD2499"/>
    <w:rsid w:val="00BE0E01"/>
    <w:rsid w:val="00BE7BCF"/>
    <w:rsid w:val="00BF2B65"/>
    <w:rsid w:val="00BF34C3"/>
    <w:rsid w:val="00C07941"/>
    <w:rsid w:val="00C10B39"/>
    <w:rsid w:val="00C13F67"/>
    <w:rsid w:val="00C1510E"/>
    <w:rsid w:val="00C159BD"/>
    <w:rsid w:val="00C20DBB"/>
    <w:rsid w:val="00C22AF3"/>
    <w:rsid w:val="00C24C47"/>
    <w:rsid w:val="00C60EBD"/>
    <w:rsid w:val="00C62025"/>
    <w:rsid w:val="00C71926"/>
    <w:rsid w:val="00C75E7D"/>
    <w:rsid w:val="00C82F62"/>
    <w:rsid w:val="00C8656B"/>
    <w:rsid w:val="00CA0B7B"/>
    <w:rsid w:val="00CB04D0"/>
    <w:rsid w:val="00CB297F"/>
    <w:rsid w:val="00CC1BDC"/>
    <w:rsid w:val="00CC2B47"/>
    <w:rsid w:val="00CC2D0F"/>
    <w:rsid w:val="00CC5844"/>
    <w:rsid w:val="00CD2BEE"/>
    <w:rsid w:val="00CD2C69"/>
    <w:rsid w:val="00CD4D55"/>
    <w:rsid w:val="00CE0C16"/>
    <w:rsid w:val="00CE1060"/>
    <w:rsid w:val="00CE131B"/>
    <w:rsid w:val="00CE22B5"/>
    <w:rsid w:val="00CF398D"/>
    <w:rsid w:val="00D05F2E"/>
    <w:rsid w:val="00D17AB0"/>
    <w:rsid w:val="00D20E6D"/>
    <w:rsid w:val="00D22730"/>
    <w:rsid w:val="00D22C6B"/>
    <w:rsid w:val="00D278B9"/>
    <w:rsid w:val="00D27FFE"/>
    <w:rsid w:val="00D30EED"/>
    <w:rsid w:val="00D360F4"/>
    <w:rsid w:val="00D37B87"/>
    <w:rsid w:val="00D44696"/>
    <w:rsid w:val="00D45972"/>
    <w:rsid w:val="00D46BCE"/>
    <w:rsid w:val="00D509F5"/>
    <w:rsid w:val="00D57C70"/>
    <w:rsid w:val="00D668B3"/>
    <w:rsid w:val="00D67F0B"/>
    <w:rsid w:val="00D76FCF"/>
    <w:rsid w:val="00D816F4"/>
    <w:rsid w:val="00D81730"/>
    <w:rsid w:val="00D84647"/>
    <w:rsid w:val="00D85630"/>
    <w:rsid w:val="00D87E82"/>
    <w:rsid w:val="00D90908"/>
    <w:rsid w:val="00D97A8C"/>
    <w:rsid w:val="00DA6121"/>
    <w:rsid w:val="00DC238C"/>
    <w:rsid w:val="00DC6196"/>
    <w:rsid w:val="00DE4AAE"/>
    <w:rsid w:val="00DE5A13"/>
    <w:rsid w:val="00DE60D7"/>
    <w:rsid w:val="00DE704A"/>
    <w:rsid w:val="00DF78B5"/>
    <w:rsid w:val="00E02158"/>
    <w:rsid w:val="00E02F50"/>
    <w:rsid w:val="00E038D2"/>
    <w:rsid w:val="00E0501B"/>
    <w:rsid w:val="00E12E0D"/>
    <w:rsid w:val="00E144CA"/>
    <w:rsid w:val="00E1737A"/>
    <w:rsid w:val="00E27BED"/>
    <w:rsid w:val="00E32D19"/>
    <w:rsid w:val="00E33471"/>
    <w:rsid w:val="00E37641"/>
    <w:rsid w:val="00E532F0"/>
    <w:rsid w:val="00E54A89"/>
    <w:rsid w:val="00E60292"/>
    <w:rsid w:val="00E65D45"/>
    <w:rsid w:val="00E714D0"/>
    <w:rsid w:val="00E71F25"/>
    <w:rsid w:val="00E74405"/>
    <w:rsid w:val="00E75F2D"/>
    <w:rsid w:val="00E76161"/>
    <w:rsid w:val="00E777B3"/>
    <w:rsid w:val="00E777CE"/>
    <w:rsid w:val="00E961AC"/>
    <w:rsid w:val="00EA02AC"/>
    <w:rsid w:val="00EA035E"/>
    <w:rsid w:val="00EA1B36"/>
    <w:rsid w:val="00EA5522"/>
    <w:rsid w:val="00EA5BB6"/>
    <w:rsid w:val="00EB0C07"/>
    <w:rsid w:val="00EB33BB"/>
    <w:rsid w:val="00EB4BD8"/>
    <w:rsid w:val="00EB4FCE"/>
    <w:rsid w:val="00EC5373"/>
    <w:rsid w:val="00ED1A24"/>
    <w:rsid w:val="00ED7EDB"/>
    <w:rsid w:val="00EE1CFA"/>
    <w:rsid w:val="00EE3088"/>
    <w:rsid w:val="00EE31D2"/>
    <w:rsid w:val="00EF0EBD"/>
    <w:rsid w:val="00EF25E9"/>
    <w:rsid w:val="00EF3902"/>
    <w:rsid w:val="00EF51D9"/>
    <w:rsid w:val="00F00348"/>
    <w:rsid w:val="00F00A91"/>
    <w:rsid w:val="00F0794B"/>
    <w:rsid w:val="00F22390"/>
    <w:rsid w:val="00F25ACC"/>
    <w:rsid w:val="00F34145"/>
    <w:rsid w:val="00F36589"/>
    <w:rsid w:val="00F43C84"/>
    <w:rsid w:val="00F524A2"/>
    <w:rsid w:val="00F54F5D"/>
    <w:rsid w:val="00F554D8"/>
    <w:rsid w:val="00F57645"/>
    <w:rsid w:val="00F57F8F"/>
    <w:rsid w:val="00F64E8F"/>
    <w:rsid w:val="00F71E4A"/>
    <w:rsid w:val="00F8313E"/>
    <w:rsid w:val="00F92850"/>
    <w:rsid w:val="00F92B5C"/>
    <w:rsid w:val="00F92BAC"/>
    <w:rsid w:val="00F94C4E"/>
    <w:rsid w:val="00F95DC4"/>
    <w:rsid w:val="00F96B66"/>
    <w:rsid w:val="00FA039D"/>
    <w:rsid w:val="00FA71CA"/>
    <w:rsid w:val="00FD0AEA"/>
    <w:rsid w:val="00FE0D06"/>
    <w:rsid w:val="00FF115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A9F2BB-F8A5-46A6-A8F4-BBBA799FC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4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rsid w:val="0005048F"/>
    <w:pPr>
      <w:spacing w:after="160" w:line="240" w:lineRule="exact"/>
      <w:jc w:val="both"/>
    </w:pPr>
    <w:rPr>
      <w:rFonts w:ascii="Verdana" w:eastAsia="Times New Roman" w:hAnsi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040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003D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70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0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j-ea"/>
                <a:cs typeface="Times New Roman" panose="02020603050405020304" pitchFamily="18" charset="0"/>
              </a:defRPr>
            </a:pPr>
            <a:r>
              <a:rPr lang="ru-RU" sz="11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Рис. 1. Финансирование программ в 2020 и 2021 годах из городского бюджета, тыс. руб. </a:t>
            </a:r>
          </a:p>
        </c:rich>
      </c:tx>
      <c:layout>
        <c:manualLayout>
          <c:xMode val="edge"/>
          <c:yMode val="edge"/>
          <c:x val="0.13446909667194934"/>
          <c:y val="0.84720680725120234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20827158203162749"/>
          <c:y val="8.8309868591620377E-2"/>
          <c:w val="0.76267399564745153"/>
          <c:h val="0.6704830736335543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rgbClr val="3399FF"/>
            </a:solidFill>
            <a:ln>
              <a:solidFill>
                <a:schemeClr val="tx1"/>
              </a:solidFill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3399FF"/>
              </a:solidFill>
              <a:ln>
                <a:solidFill>
                  <a:schemeClr val="tx1"/>
                </a:solidFill>
              </a:ln>
              <a:effectLst/>
            </c:spPr>
          </c:dPt>
          <c:dLbls>
            <c:dLbl>
              <c:idx val="0"/>
              <c:layout>
                <c:manualLayout>
                  <c:x val="0"/>
                  <c:y val="-1.085116857618103E-3"/>
                </c:manualLayout>
              </c:layout>
              <c:tx>
                <c:rich>
                  <a:bodyPr/>
                  <a:lstStyle/>
                  <a:p>
                    <a:fld id="{68CFBF07-169A-4686-94F6-7D23BB8FC457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2.4545900834560628E-3"/>
                  <c:y val="4.6297348236575865E-3"/>
                </c:manualLayout>
              </c:layout>
              <c:tx>
                <c:rich>
                  <a:bodyPr/>
                  <a:lstStyle/>
                  <a:p>
                    <a:fld id="{1ABE5860-9C6E-47E5-8336-0EB03ED4FCA3}" type="VALUE">
                      <a:rPr lang="en-US" sz="850"/>
                      <a:pPr/>
                      <a:t>[ЗНАЧЕНИЕ]</a:t>
                    </a:fld>
                    <a:endParaRPr lang="ru-RU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solidFill>
                <a:schemeClr val="bg1"/>
              </a:solidFill>
              <a:ln>
                <a:solidFill>
                  <a:schemeClr val="bg1"/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Лист1!$B$1:$C$1</c:f>
              <c:numCache>
                <c:formatCode>General</c:formatCode>
                <c:ptCount val="2"/>
                <c:pt idx="0">
                  <c:v>2020</c:v>
                </c:pt>
                <c:pt idx="1">
                  <c:v>2021</c:v>
                </c:pt>
              </c:numCache>
            </c:numRef>
          </c:cat>
          <c:val>
            <c:numRef>
              <c:f>Лист1!$B$2:$C$2</c:f>
              <c:numCache>
                <c:formatCode>_-* #,##0.0_р_._-;\-* #,##0.0_р_._-;_-* "-"?_р_._-;_-@_-</c:formatCode>
                <c:ptCount val="2"/>
                <c:pt idx="0">
                  <c:v>2639971.6</c:v>
                </c:pt>
                <c:pt idx="1">
                  <c:v>2277143.2000000002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Факт</c:v>
                </c:pt>
              </c:strCache>
            </c:strRef>
          </c:tx>
          <c:spPr>
            <a:solidFill>
              <a:srgbClr val="FFFF00"/>
            </a:solidFill>
            <a:ln>
              <a:solidFill>
                <a:schemeClr val="tx1"/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2.4545900834560628E-3"/>
                  <c:y val="-9.157221052140991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"/>
                  <c:y val="1.3895321908290875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161C56DC-F82F-4D37-B78D-612397510888}" type="VALUE">
                      <a:rPr lang="en-US" sz="850"/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spPr>
                <a:solidFill>
                  <a:schemeClr val="bg1"/>
                </a:solidFill>
                <a:ln>
                  <a:solidFill>
                    <a:schemeClr val="bg1"/>
                  </a:solidFill>
                </a:ln>
                <a:effectLst/>
              </c:sp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  <c15:dlblFieldTable/>
                  <c15:showDataLabelsRange val="0"/>
                </c:ext>
              </c:extLst>
            </c:dLbl>
            <c:spPr>
              <a:solidFill>
                <a:schemeClr val="bg1"/>
              </a:solidFill>
              <a:ln>
                <a:solidFill>
                  <a:schemeClr val="bg1"/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Лист1!$B$1:$C$1</c:f>
              <c:numCache>
                <c:formatCode>General</c:formatCode>
                <c:ptCount val="2"/>
                <c:pt idx="0">
                  <c:v>2020</c:v>
                </c:pt>
                <c:pt idx="1">
                  <c:v>2021</c:v>
                </c:pt>
              </c:numCache>
            </c:numRef>
          </c:cat>
          <c:val>
            <c:numRef>
              <c:f>Лист1!$B$3:$C$3</c:f>
              <c:numCache>
                <c:formatCode>_-* #,##0.0_р_._-;\-* #,##0.0_р_._-;_-* "-"?_р_._-;_-@_-</c:formatCode>
                <c:ptCount val="2"/>
                <c:pt idx="0">
                  <c:v>2411488.2000000002</c:v>
                </c:pt>
                <c:pt idx="1">
                  <c:v>2186215.9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18"/>
        <c:axId val="279502096"/>
        <c:axId val="279502488"/>
      </c:barChart>
      <c:catAx>
        <c:axId val="2795020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79502488"/>
        <c:crosses val="autoZero"/>
        <c:auto val="1"/>
        <c:lblAlgn val="ctr"/>
        <c:lblOffset val="100"/>
        <c:noMultiLvlLbl val="0"/>
      </c:catAx>
      <c:valAx>
        <c:axId val="2795024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_-* #,##0.0_р_._-;\-* #,##0.0_р_._-;_-* &quot;-&quot;?_р_._-;_-@_-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79502096"/>
        <c:crosses val="autoZero"/>
        <c:crossBetween val="between"/>
        <c:majorUnit val="200000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71448710663744353"/>
          <c:y val="2.0033441990672366E-2"/>
          <c:w val="0.18705425997008113"/>
          <c:h val="6.2760537285780502E-2"/>
        </c:manualLayout>
      </c:layout>
      <c:overlay val="0"/>
      <c:spPr>
        <a:noFill/>
        <a:ln>
          <a:solidFill>
            <a:schemeClr val="tx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3175" cap="flat" cmpd="sng" algn="ctr">
      <a:solidFill>
        <a:schemeClr val="tx1">
          <a:alpha val="60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Рис. 2. Исполнение бюджета по действующим программам за 2021 год в разрезе источников бюджета (%) </a:t>
            </a:r>
          </a:p>
        </c:rich>
      </c:tx>
      <c:layout>
        <c:manualLayout>
          <c:xMode val="edge"/>
          <c:yMode val="edge"/>
          <c:x val="0.10728796095610005"/>
          <c:y val="0.85038106698756522"/>
        </c:manualLayout>
      </c:layout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5.4200542005420072E-2"/>
          <c:y val="0.17050308138795428"/>
          <c:w val="0.82384823848238531"/>
          <c:h val="0.6198229213639046"/>
        </c:manualLayout>
      </c:layout>
      <c:pie3DChart>
        <c:varyColors val="1"/>
        <c:ser>
          <c:idx val="0"/>
          <c:order val="0"/>
          <c:spPr>
            <a:ln>
              <a:solidFill>
                <a:schemeClr val="tx1"/>
              </a:solidFill>
            </a:ln>
          </c:spPr>
          <c:dPt>
            <c:idx val="0"/>
            <c:bubble3D val="0"/>
            <c:spPr>
              <a:solidFill>
                <a:srgbClr val="3399FF"/>
              </a:solidFill>
              <a:ln>
                <a:solidFill>
                  <a:schemeClr val="tx1"/>
                </a:solidFill>
              </a:ln>
              <a:effectLst/>
              <a:sp3d/>
            </c:spPr>
          </c:dPt>
          <c:dPt>
            <c:idx val="1"/>
            <c:bubble3D val="0"/>
            <c:spPr>
              <a:solidFill>
                <a:srgbClr val="00FF99"/>
              </a:solidFill>
              <a:ln>
                <a:solidFill>
                  <a:schemeClr val="tx1"/>
                </a:solidFill>
              </a:ln>
              <a:effectLst/>
              <a:sp3d/>
            </c:spPr>
          </c:dPt>
          <c:dPt>
            <c:idx val="2"/>
            <c:bubble3D val="0"/>
            <c:spPr>
              <a:solidFill>
                <a:srgbClr val="FFFF00"/>
              </a:solidFill>
              <a:ln>
                <a:solidFill>
                  <a:schemeClr val="tx1"/>
                </a:solidFill>
              </a:ln>
              <a:effectLst/>
              <a:sp3d>
                <a:contourClr>
                  <a:schemeClr val="tx1"/>
                </a:contourClr>
              </a:sp3d>
            </c:spPr>
          </c:dPt>
          <c:dPt>
            <c:idx val="3"/>
            <c:bubble3D val="0"/>
            <c:spPr>
              <a:solidFill>
                <a:srgbClr val="FF66CC"/>
              </a:solidFill>
              <a:ln>
                <a:solidFill>
                  <a:schemeClr val="tx1"/>
                </a:solidFill>
              </a:ln>
              <a:effectLst/>
              <a:sp3d/>
            </c:spPr>
          </c:dPt>
          <c:dLbls>
            <c:dLbl>
              <c:idx val="0"/>
              <c:layout>
                <c:manualLayout>
                  <c:x val="0.20924976531218259"/>
                  <c:y val="2.0322851989316316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2D6098BF-254F-40AE-8F9F-93747C57A39A}" type="CATEGORYNAME">
                      <a:rPr lang="ru-RU" sz="1200" b="1"/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[ИМЯ КАТЕГОРИИ]</a:t>
                    </a:fld>
                    <a:r>
                      <a:rPr lang="ru-RU" b="1" baseline="0"/>
                      <a:t>
</a:t>
                    </a:r>
                    <a:fld id="{F959BF99-81A9-43A7-8A01-52EB260240D4}" type="PERCENTAGE">
                      <a:rPr lang="ru-RU" sz="1200" b="1" baseline="0"/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[ПРОЦЕНТ]</a:t>
                    </a:fld>
                    <a:endParaRPr lang="ru-RU" b="1" baseline="0"/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114316914765215"/>
                      <c:h val="0.17266901384023028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0.23922782918558538"/>
                  <c:y val="-0.21819522009088077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C39C9104-6102-40D4-A231-D8A0DA5BD5B0}" type="CATEGORYNAME">
                      <a:rPr lang="ru-RU" sz="1400" b="1">
                        <a:solidFill>
                          <a:sysClr val="windowText" lastClr="000000"/>
                        </a:solidFill>
                      </a:rPr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[ИМЯ КАТЕГОРИИ]</a:t>
                    </a:fld>
                    <a:r>
                      <a:rPr lang="ru-RU" sz="1400" b="1" baseline="0">
                        <a:solidFill>
                          <a:sysClr val="windowText" lastClr="000000"/>
                        </a:solidFill>
                      </a:rPr>
                      <a:t>
</a:t>
                    </a:r>
                    <a:fld id="{8DE24222-FB7F-4663-B8D8-971589C1F19D}" type="PERCENTAGE">
                      <a:rPr lang="ru-RU" sz="1400" b="1" baseline="0">
                        <a:solidFill>
                          <a:sysClr val="windowText" lastClr="000000"/>
                        </a:solidFill>
                      </a:rPr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[ПРОЦЕНТ]</a:t>
                    </a:fld>
                    <a:endParaRPr lang="ru-RU" sz="1400" b="1" baseline="0">
                      <a:solidFill>
                        <a:sysClr val="windowText" lastClr="000000"/>
                      </a:solidFill>
                    </a:endParaRP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4771289537712891"/>
                      <c:h val="0.14570484581497797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0.18734802766442515"/>
                  <c:y val="7.6044232081122015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00E4BBA5-0CF3-4439-8E16-F36E11274690}" type="CATEGORYNAME">
                      <a:rPr lang="ru-RU" sz="1200" b="1"/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[ИМЯ КАТЕГОРИИ]</a:t>
                    </a:fld>
                    <a:r>
                      <a:rPr lang="ru-RU" sz="1200" baseline="0"/>
                      <a:t>
</a:t>
                    </a:r>
                    <a:fld id="{9144AFC4-636D-4846-B91B-DC8011F03228}" type="PERCENTAGE">
                      <a:rPr lang="ru-RU" sz="1200" b="1" baseline="0"/>
                      <a:pPr>
                        <a:defRPr sz="900" b="0" i="0" u="none" strike="noStrike" kern="1200" baseline="0">
                          <a:solidFill>
                            <a:sysClr val="windowText" lastClr="000000"/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t>[ПРОЦЕНТ]</a:t>
                    </a:fld>
                    <a:endParaRPr lang="ru-RU" sz="1200" baseline="0"/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7069352644788008"/>
                      <c:h val="0.15304698972099851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0.21411192214111921"/>
                  <c:y val="5.9123625515973534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1"/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Лист1!$B$26:$B$28</c:f>
              <c:strCache>
                <c:ptCount val="3"/>
                <c:pt idx="0">
                  <c:v>Федеральный бюджет</c:v>
                </c:pt>
                <c:pt idx="1">
                  <c:v>Областной бюджет</c:v>
                </c:pt>
                <c:pt idx="2">
                  <c:v>Городской бюджет</c:v>
                </c:pt>
              </c:strCache>
            </c:strRef>
          </c:cat>
          <c:val>
            <c:numRef>
              <c:f>Лист1!$C$26:$C$28</c:f>
              <c:numCache>
                <c:formatCode>#,##0.00</c:formatCode>
                <c:ptCount val="3"/>
                <c:pt idx="0">
                  <c:v>313767.90000000002</c:v>
                </c:pt>
                <c:pt idx="1">
                  <c:v>1131278.3999999999</c:v>
                </c:pt>
                <c:pt idx="2">
                  <c:v>741169.6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zero"/>
    <c:showDLblsOverMax val="0"/>
  </c:chart>
  <c:spPr>
    <a:solidFill>
      <a:schemeClr val="bg1"/>
    </a:solidFill>
    <a:ln w="3175" cap="flat" cmpd="sng" algn="ctr">
      <a:solidFill>
        <a:schemeClr val="tx1">
          <a:alpha val="60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0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Рис. 3. Финансирование программ в 2021 году </a:t>
            </a:r>
          </a:p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0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по основным направлениям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0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 (% к общей сумме финансирования программной части)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5214861729240375"/>
          <c:y val="0.80151358789129645"/>
        </c:manualLayout>
      </c:layout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71104357368173"/>
          <c:y val="0.1844792233788114"/>
          <c:w val="0.67194168663699694"/>
          <c:h val="0.58663150852273471"/>
        </c:manualLayout>
      </c:layout>
      <c:pie3DChart>
        <c:varyColors val="1"/>
        <c:ser>
          <c:idx val="0"/>
          <c:order val="0"/>
          <c:spPr>
            <a:ln>
              <a:noFill/>
            </a:ln>
          </c:spPr>
          <c:dPt>
            <c:idx val="0"/>
            <c:bubble3D val="0"/>
            <c:spPr>
              <a:solidFill>
                <a:srgbClr val="FFFF66"/>
              </a:solidFill>
              <a:ln w="25400">
                <a:noFill/>
              </a:ln>
              <a:effectLst/>
              <a:sp3d/>
            </c:spPr>
          </c:dPt>
          <c:dPt>
            <c:idx val="1"/>
            <c:bubble3D val="0"/>
            <c:spPr>
              <a:solidFill>
                <a:srgbClr val="FF66CC"/>
              </a:solidFill>
              <a:ln w="25400">
                <a:noFill/>
              </a:ln>
              <a:effectLst/>
              <a:sp3d/>
            </c:spPr>
          </c:dPt>
          <c:dPt>
            <c:idx val="2"/>
            <c:bubble3D val="0"/>
            <c:spPr>
              <a:solidFill>
                <a:srgbClr val="33CCFF"/>
              </a:solidFill>
              <a:ln w="25400">
                <a:noFill/>
              </a:ln>
              <a:effectLst/>
              <a:sp3d/>
            </c:spPr>
          </c:dPt>
          <c:dPt>
            <c:idx val="3"/>
            <c:bubble3D val="0"/>
            <c:spPr>
              <a:solidFill>
                <a:srgbClr val="CC99FF"/>
              </a:solidFill>
              <a:ln w="25400">
                <a:noFill/>
              </a:ln>
              <a:effectLst/>
              <a:sp3d/>
            </c:spPr>
          </c:dPt>
          <c:dPt>
            <c:idx val="4"/>
            <c:bubble3D val="0"/>
            <c:spPr>
              <a:solidFill>
                <a:srgbClr val="FF6699"/>
              </a:solidFill>
              <a:ln w="25400">
                <a:noFill/>
              </a:ln>
              <a:effectLst/>
              <a:sp3d/>
            </c:spPr>
          </c:dPt>
          <c:dPt>
            <c:idx val="5"/>
            <c:bubble3D val="0"/>
            <c:spPr>
              <a:solidFill>
                <a:srgbClr val="FFCC66"/>
              </a:solidFill>
              <a:ln w="25400">
                <a:noFill/>
              </a:ln>
              <a:effectLst/>
              <a:sp3d/>
            </c:spPr>
          </c:dPt>
          <c:dPt>
            <c:idx val="6"/>
            <c:bubble3D val="0"/>
            <c:spPr>
              <a:solidFill>
                <a:srgbClr val="99FF99"/>
              </a:solidFill>
              <a:ln w="25400">
                <a:noFill/>
              </a:ln>
              <a:effectLst/>
              <a:sp3d/>
            </c:spPr>
          </c:dPt>
          <c:dLbls>
            <c:dLbl>
              <c:idx val="0"/>
              <c:layout>
                <c:manualLayout>
                  <c:x val="-4.9509680855110504E-2"/>
                  <c:y val="-3.439701616245322E-3"/>
                </c:manualLayout>
              </c:layout>
              <c:numFmt formatCode="General" sourceLinked="0"/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35280"/>
                        <a:gd name="adj2" fmla="val 27027"/>
                      </a:avLst>
                    </a:prstGeom>
                  </c15:spPr>
                  <c15:layout>
                    <c:manualLayout>
                      <c:w val="0.23522918330860818"/>
                      <c:h val="0.11822291563399777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9.0610141123663897E-3"/>
                  <c:y val="-8.2559339525283798E-2"/>
                </c:manualLayout>
              </c:layout>
              <c:numFmt formatCode="General" sourceLinked="0"/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35613"/>
                        <a:gd name="adj2" fmla="val 11112"/>
                      </a:avLst>
                    </a:prstGeom>
                  </c15:spPr>
                </c:ext>
              </c:extLst>
            </c:dLbl>
            <c:dLbl>
              <c:idx val="2"/>
              <c:layout>
                <c:manualLayout>
                  <c:x val="5.3073338658754611E-2"/>
                  <c:y val="-2.4079807361541108E-2"/>
                </c:manualLayout>
              </c:layout>
              <c:numFmt formatCode="General" sourceLinked="0"/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29329"/>
                        <a:gd name="adj2" fmla="val 14220"/>
                      </a:avLst>
                    </a:prstGeom>
                  </c15:spPr>
                  <c15:layout>
                    <c:manualLayout>
                      <c:w val="0.16015843128304613"/>
                      <c:h val="0.18167659383134382"/>
                    </c:manualLayout>
                  </c15:layout>
                </c:ext>
              </c:extLst>
            </c:dLbl>
            <c:dLbl>
              <c:idx val="3"/>
              <c:layout>
                <c:manualLayout>
                  <c:x val="-0.14132374757503147"/>
                  <c:y val="-0.29159129876567286"/>
                </c:manualLayout>
              </c:layout>
              <c:numFmt formatCode="General" sourceLinked="0"/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21445"/>
                        <a:gd name="adj2" fmla="val 50295"/>
                      </a:avLst>
                    </a:prstGeom>
                  </c15:spPr>
                </c:ext>
              </c:extLst>
            </c:dLbl>
            <c:dLbl>
              <c:idx val="4"/>
              <c:layout>
                <c:manualLayout>
                  <c:x val="-3.5560500589600212E-3"/>
                  <c:y val="-4.4719642242862123E-2"/>
                </c:manualLayout>
              </c:layout>
              <c:numFmt formatCode="General" sourceLinked="0"/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19164"/>
                        <a:gd name="adj2" fmla="val -22312"/>
                      </a:avLst>
                    </a:prstGeom>
                  </c15:spPr>
                </c:ext>
              </c:extLst>
            </c:dLbl>
            <c:dLbl>
              <c:idx val="5"/>
              <c:layout>
                <c:manualLayout>
                  <c:x val="0.13852657004830918"/>
                  <c:y val="6.0084942942503702E-2"/>
                </c:manualLayout>
              </c:layout>
              <c:numFmt formatCode="General" sourceLinked="0"/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32705"/>
                        <a:gd name="adj2" fmla="val 5707"/>
                      </a:avLst>
                    </a:prstGeom>
                  </c15:spPr>
                </c:ext>
              </c:extLst>
            </c:dLbl>
            <c:dLbl>
              <c:idx val="6"/>
              <c:layout>
                <c:manualLayout>
                  <c:x val="-0.27605557457491725"/>
                  <c:y val="3.6499462335009968E-2"/>
                </c:manualLayout>
              </c:layout>
              <c:numFmt formatCode="General" sourceLinked="0"/>
              <c:spPr>
                <a:solidFill>
                  <a:sysClr val="window" lastClr="FFFFFF"/>
                </a:solidFill>
                <a:ln w="9525" cap="flat" cmpd="sng" algn="ctr">
                  <a:noFill/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20244"/>
                        <a:gd name="adj2" fmla="val 4988"/>
                      </a:avLst>
                    </a:prstGeom>
                  </c15:spPr>
                </c:ext>
              </c:extLst>
            </c:dLbl>
            <c:dLbl>
              <c:idx val="7"/>
              <c:layout>
                <c:manualLayout>
                  <c:x val="-8.9371980676328497E-2"/>
                  <c:y val="-7.5679394564843475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solidFill>
                <a:sysClr val="window" lastClr="FFFFFF"/>
              </a:solidFill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</c15:spPr>
              </c:ext>
            </c:extLst>
          </c:dLbls>
          <c:cat>
            <c:strRef>
              <c:f>Лист1!$B$45:$B$51</c:f>
              <c:strCache>
                <c:ptCount val="7"/>
                <c:pt idx="0">
                  <c:v>Общегосударственные вопросы</c:v>
                </c:pt>
                <c:pt idx="1">
                  <c:v>Национальная экономика, безопасность</c:v>
                </c:pt>
                <c:pt idx="2">
                  <c:v>Жилищно-коммунальное хозяйство</c:v>
                </c:pt>
                <c:pt idx="3">
                  <c:v>Образование и молодежная политика</c:v>
                </c:pt>
                <c:pt idx="4">
                  <c:v>Культура и кинематография</c:v>
                </c:pt>
                <c:pt idx="5">
                  <c:v>Социальная политика</c:v>
                </c:pt>
                <c:pt idx="6">
                  <c:v>Физическая культура и спорт</c:v>
                </c:pt>
              </c:strCache>
            </c:strRef>
          </c:cat>
          <c:val>
            <c:numRef>
              <c:f>Лист1!$C$45:$C$51</c:f>
              <c:numCache>
                <c:formatCode>#,##0.00</c:formatCode>
                <c:ptCount val="7"/>
                <c:pt idx="0">
                  <c:v>186029.75</c:v>
                </c:pt>
                <c:pt idx="1">
                  <c:v>118691.19</c:v>
                </c:pt>
                <c:pt idx="2">
                  <c:v>176224.8</c:v>
                </c:pt>
                <c:pt idx="3">
                  <c:v>1100841.8</c:v>
                </c:pt>
                <c:pt idx="4">
                  <c:v>81987.960000000006</c:v>
                </c:pt>
                <c:pt idx="5">
                  <c:v>647283.56000000006</c:v>
                </c:pt>
                <c:pt idx="6">
                  <c:v>27840.959999999999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zero"/>
    <c:showDLblsOverMax val="0"/>
  </c:chart>
  <c:spPr>
    <a:solidFill>
      <a:schemeClr val="bg1"/>
    </a:solidFill>
    <a:ln w="3175" cap="flat" cmpd="sng" algn="ctr">
      <a:solidFill>
        <a:schemeClr val="tx1">
          <a:alpha val="60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0.02086</cdr:x>
      <cdr:y>0.4273</cdr:y>
    </cdr:from>
    <cdr:to>
      <cdr:x>0.1997</cdr:x>
      <cdr:y>0.69367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06680" y="146685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1735</TotalTime>
  <Pages>1</Pages>
  <Words>2270</Words>
  <Characters>12942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40</cp:revision>
  <cp:lastPrinted>2022-04-27T12:38:00Z</cp:lastPrinted>
  <dcterms:created xsi:type="dcterms:W3CDTF">2016-05-10T07:45:00Z</dcterms:created>
  <dcterms:modified xsi:type="dcterms:W3CDTF">2022-04-29T10:43:00Z</dcterms:modified>
</cp:coreProperties>
</file>